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1BD9" w14:textId="43E00BB9" w:rsidR="00077A25" w:rsidRPr="00ED62A8" w:rsidRDefault="001C4454" w:rsidP="00C415AF">
      <w:pPr>
        <w:jc w:val="both"/>
        <w:rPr>
          <w:b/>
          <w:sz w:val="32"/>
          <w:szCs w:val="32"/>
          <w:lang w:eastAsia="ko-KR"/>
        </w:rPr>
      </w:pPr>
      <w:r w:rsidRPr="001C4454">
        <w:rPr>
          <w:b/>
          <w:sz w:val="32"/>
          <w:szCs w:val="32"/>
        </w:rPr>
        <w:t>National Repor</w:t>
      </w:r>
      <w:r w:rsidR="008B2BD7">
        <w:rPr>
          <w:b/>
          <w:sz w:val="32"/>
          <w:szCs w:val="32"/>
        </w:rPr>
        <w:t xml:space="preserve">t ILAG </w:t>
      </w:r>
      <w:r w:rsidR="00ED62A8">
        <w:rPr>
          <w:b/>
          <w:sz w:val="32"/>
          <w:szCs w:val="32"/>
        </w:rPr>
        <w:t>Harvard</w:t>
      </w:r>
      <w:r w:rsidR="008B2BD7">
        <w:rPr>
          <w:b/>
          <w:sz w:val="32"/>
          <w:szCs w:val="32"/>
        </w:rPr>
        <w:t xml:space="preserve"> 202</w:t>
      </w:r>
      <w:r w:rsidR="00ED62A8">
        <w:rPr>
          <w:rFonts w:hint="eastAsia"/>
          <w:b/>
          <w:sz w:val="32"/>
          <w:szCs w:val="32"/>
          <w:lang w:eastAsia="ko-KR"/>
        </w:rPr>
        <w:t>3</w:t>
      </w:r>
    </w:p>
    <w:p w14:paraId="27CF2DAC" w14:textId="40E2DB8C" w:rsidR="001C4454" w:rsidRDefault="00ED62A8" w:rsidP="00C415AF">
      <w:pPr>
        <w:jc w:val="both"/>
        <w:rPr>
          <w:lang w:val="lt-LT"/>
        </w:rPr>
      </w:pPr>
      <w:r>
        <w:rPr>
          <w:lang w:val="en-US"/>
        </w:rPr>
        <w:t xml:space="preserve">Prepared by </w:t>
      </w:r>
      <w:r w:rsidR="005241E4">
        <w:rPr>
          <w:lang w:val="en-US"/>
        </w:rPr>
        <w:t>Dr</w:t>
      </w:r>
      <w:r>
        <w:rPr>
          <w:lang w:val="en-US"/>
        </w:rPr>
        <w:t>. An</w:t>
      </w:r>
      <w:r w:rsidR="008C4C04">
        <w:rPr>
          <w:lang w:val="lt-LT"/>
        </w:rPr>
        <w:t>z</w:t>
      </w:r>
      <w:r>
        <w:rPr>
          <w:lang w:val="lt-LT"/>
        </w:rPr>
        <w:t>elika Banevi</w:t>
      </w:r>
      <w:r w:rsidR="008C4C04">
        <w:rPr>
          <w:lang w:val="lt-LT"/>
        </w:rPr>
        <w:t>c</w:t>
      </w:r>
      <w:r>
        <w:rPr>
          <w:lang w:val="lt-LT"/>
        </w:rPr>
        <w:t>ien</w:t>
      </w:r>
      <w:r w:rsidR="008C4C04">
        <w:rPr>
          <w:lang w:val="lt-LT"/>
        </w:rPr>
        <w:t>e</w:t>
      </w:r>
      <w:r>
        <w:rPr>
          <w:rStyle w:val="FootnoteReference"/>
          <w:lang w:val="lt-LT"/>
        </w:rPr>
        <w:footnoteReference w:id="1"/>
      </w:r>
    </w:p>
    <w:p w14:paraId="71621572" w14:textId="77777777" w:rsidR="00ED62A8" w:rsidRPr="00ED62A8" w:rsidRDefault="00ED62A8" w:rsidP="00C415AF">
      <w:pPr>
        <w:jc w:val="both"/>
        <w:rPr>
          <w:lang w:val="lt-LT"/>
        </w:rPr>
      </w:pPr>
    </w:p>
    <w:p w14:paraId="2DAB7FF6" w14:textId="2F51B58F" w:rsidR="001C4454" w:rsidRDefault="001C4454" w:rsidP="00016FD3">
      <w:pPr>
        <w:pStyle w:val="Heading1"/>
        <w:numPr>
          <w:ilvl w:val="0"/>
          <w:numId w:val="16"/>
        </w:numPr>
      </w:pPr>
      <w:r w:rsidRPr="00FA4F45">
        <w:t>Country details</w:t>
      </w:r>
    </w:p>
    <w:p w14:paraId="2758CC1F" w14:textId="6E40E7BA" w:rsidR="001C4454" w:rsidRDefault="001C4454" w:rsidP="00C415AF">
      <w:pPr>
        <w:pStyle w:val="ListParagraph"/>
        <w:jc w:val="both"/>
      </w:pPr>
    </w:p>
    <w:tbl>
      <w:tblPr>
        <w:tblStyle w:val="GridTable6Colorful-Accent5"/>
        <w:tblW w:w="0" w:type="auto"/>
        <w:tblLook w:val="04A0" w:firstRow="1" w:lastRow="0" w:firstColumn="1" w:lastColumn="0" w:noHBand="0" w:noVBand="1"/>
      </w:tblPr>
      <w:tblGrid>
        <w:gridCol w:w="4508"/>
        <w:gridCol w:w="4508"/>
      </w:tblGrid>
      <w:tr w:rsidR="001F3E35" w14:paraId="558CFDF4" w14:textId="77777777" w:rsidTr="00FE0B96">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508" w:type="dxa"/>
          </w:tcPr>
          <w:p w14:paraId="4CF2BC31" w14:textId="44FF3F98" w:rsidR="00791A27" w:rsidRPr="00E408F6" w:rsidRDefault="00791A27" w:rsidP="00C415AF">
            <w:pPr>
              <w:pStyle w:val="ListParagraph"/>
              <w:ind w:left="0"/>
              <w:jc w:val="both"/>
              <w:rPr>
                <w:b w:val="0"/>
                <w:bCs w:val="0"/>
              </w:rPr>
            </w:pPr>
            <w:r w:rsidRPr="00E408F6">
              <w:t>Country</w:t>
            </w:r>
          </w:p>
        </w:tc>
        <w:tc>
          <w:tcPr>
            <w:tcW w:w="4508" w:type="dxa"/>
          </w:tcPr>
          <w:p w14:paraId="172A8715" w14:textId="57A79757" w:rsidR="00791A27" w:rsidRPr="00996582" w:rsidRDefault="00996582" w:rsidP="00C415AF">
            <w:pPr>
              <w:pStyle w:val="ListParagraph"/>
              <w:ind w:left="0"/>
              <w:jc w:val="both"/>
              <w:cnfStyle w:val="100000000000" w:firstRow="1" w:lastRow="0" w:firstColumn="0" w:lastColumn="0" w:oddVBand="0" w:evenVBand="0" w:oddHBand="0" w:evenHBand="0" w:firstRowFirstColumn="0" w:firstRowLastColumn="0" w:lastRowFirstColumn="0" w:lastRowLastColumn="0"/>
              <w:rPr>
                <w:b w:val="0"/>
                <w:bCs w:val="0"/>
              </w:rPr>
            </w:pPr>
            <w:r>
              <w:t xml:space="preserve">REPUBLIC OF </w:t>
            </w:r>
            <w:r w:rsidR="00791A27" w:rsidRPr="00996582">
              <w:t>LITHUANIA</w:t>
            </w:r>
          </w:p>
        </w:tc>
      </w:tr>
      <w:tr w:rsidR="00FE0B96" w14:paraId="4C3BDE15" w14:textId="77777777" w:rsidTr="00FE0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F764DE" w14:textId="19FCE9B4" w:rsidR="00791A27" w:rsidRPr="00050EB5" w:rsidRDefault="00791A27" w:rsidP="00C415AF">
            <w:pPr>
              <w:pStyle w:val="ListParagraph"/>
              <w:ind w:left="0"/>
              <w:jc w:val="both"/>
              <w:rPr>
                <w:lang w:val="en-US"/>
              </w:rPr>
            </w:pPr>
            <w:r w:rsidRPr="00E408F6">
              <w:t>Population</w:t>
            </w:r>
            <w:r w:rsidR="005B391D" w:rsidRPr="00E408F6">
              <w:t xml:space="preserve"> </w:t>
            </w:r>
            <w:r w:rsidR="005B391D">
              <w:t>in 2022</w:t>
            </w:r>
            <w:r w:rsidR="00E83DC4">
              <w:rPr>
                <w:rStyle w:val="FootnoteReference"/>
              </w:rPr>
              <w:footnoteReference w:id="2"/>
            </w:r>
          </w:p>
        </w:tc>
        <w:tc>
          <w:tcPr>
            <w:tcW w:w="4508" w:type="dxa"/>
          </w:tcPr>
          <w:p w14:paraId="455EEB1A" w14:textId="35C0562E" w:rsidR="00791A27" w:rsidRDefault="00050EB5"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r w:rsidRPr="00050EB5">
              <w:t>2</w:t>
            </w:r>
            <w:r w:rsidR="00F62B90">
              <w:t> 85</w:t>
            </w:r>
            <w:r w:rsidRPr="00050EB5">
              <w:t>9</w:t>
            </w:r>
            <w:r w:rsidR="00F62B90">
              <w:t xml:space="preserve"> 718 </w:t>
            </w:r>
          </w:p>
          <w:p w14:paraId="59E5495A" w14:textId="64344C45" w:rsidR="00AD0B59" w:rsidRDefault="00AD0B59"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1F3E35" w14:paraId="64E9342B" w14:textId="77777777" w:rsidTr="00FE0B96">
        <w:tc>
          <w:tcPr>
            <w:cnfStyle w:val="001000000000" w:firstRow="0" w:lastRow="0" w:firstColumn="1" w:lastColumn="0" w:oddVBand="0" w:evenVBand="0" w:oddHBand="0" w:evenHBand="0" w:firstRowFirstColumn="0" w:firstRowLastColumn="0" w:lastRowFirstColumn="0" w:lastRowLastColumn="0"/>
            <w:tcW w:w="4508" w:type="dxa"/>
          </w:tcPr>
          <w:p w14:paraId="2FC3A40C" w14:textId="52F85248" w:rsidR="00791A27" w:rsidRPr="005B25D7" w:rsidRDefault="0089292F" w:rsidP="00C415AF">
            <w:pPr>
              <w:pStyle w:val="ListParagraph"/>
              <w:ind w:left="0"/>
              <w:jc w:val="both"/>
              <w:rPr>
                <w:lang w:eastAsia="ko-KR"/>
              </w:rPr>
            </w:pPr>
            <w:r w:rsidRPr="00E408F6">
              <w:t xml:space="preserve">Annual </w:t>
            </w:r>
            <w:r w:rsidR="00301177" w:rsidRPr="00E408F6">
              <w:t>GDP</w:t>
            </w:r>
            <w:r w:rsidR="00301177" w:rsidRPr="005B25D7">
              <w:t xml:space="preserve"> </w:t>
            </w:r>
            <w:r w:rsidRPr="005B25D7">
              <w:t xml:space="preserve">in </w:t>
            </w:r>
            <w:r w:rsidRPr="005B25D7">
              <w:rPr>
                <w:lang w:eastAsia="ko-KR"/>
              </w:rPr>
              <w:t>2022</w:t>
            </w:r>
            <w:r w:rsidRPr="005B25D7">
              <w:rPr>
                <w:rStyle w:val="FootnoteReference"/>
                <w:lang w:eastAsia="ko-KR"/>
              </w:rPr>
              <w:footnoteReference w:id="3"/>
            </w:r>
          </w:p>
        </w:tc>
        <w:tc>
          <w:tcPr>
            <w:tcW w:w="4508" w:type="dxa"/>
          </w:tcPr>
          <w:p w14:paraId="7F7920B8" w14:textId="67B4F23C" w:rsidR="00AD0B59" w:rsidRPr="0089292F" w:rsidRDefault="0089292F"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r w:rsidRPr="0089292F">
              <w:t>66832,5 million Euro</w:t>
            </w:r>
          </w:p>
        </w:tc>
      </w:tr>
      <w:tr w:rsidR="00FE0B96" w14:paraId="2F8621A9" w14:textId="77777777" w:rsidTr="00FE0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72AD1AE" w14:textId="77777777" w:rsidR="00AD0B59" w:rsidRPr="005B25D7" w:rsidRDefault="00AD0B59" w:rsidP="00C415AF">
            <w:pPr>
              <w:pStyle w:val="ListParagraph"/>
              <w:ind w:left="0"/>
              <w:jc w:val="both"/>
              <w:rPr>
                <w:sz w:val="20"/>
                <w:szCs w:val="20"/>
              </w:rPr>
            </w:pPr>
          </w:p>
          <w:p w14:paraId="17F788A3" w14:textId="7934B526" w:rsidR="00791A27" w:rsidRPr="005B25D7" w:rsidRDefault="00B64BB5" w:rsidP="00C415AF">
            <w:pPr>
              <w:pStyle w:val="ListParagraph"/>
              <w:ind w:left="0"/>
              <w:jc w:val="both"/>
              <w:rPr>
                <w:sz w:val="20"/>
                <w:szCs w:val="20"/>
              </w:rPr>
            </w:pPr>
            <w:r w:rsidRPr="00E408F6">
              <w:rPr>
                <w:sz w:val="20"/>
                <w:szCs w:val="20"/>
              </w:rPr>
              <w:t xml:space="preserve">Absolute poverty </w:t>
            </w:r>
            <w:r w:rsidR="005B391D" w:rsidRPr="00E408F6">
              <w:rPr>
                <w:sz w:val="20"/>
                <w:szCs w:val="20"/>
              </w:rPr>
              <w:t>threshold</w:t>
            </w:r>
            <w:r w:rsidRPr="005B25D7">
              <w:rPr>
                <w:i/>
                <w:iCs/>
                <w:sz w:val="20"/>
                <w:szCs w:val="20"/>
              </w:rPr>
              <w:t xml:space="preserve"> </w:t>
            </w:r>
            <w:r w:rsidR="00AD0B59" w:rsidRPr="005B25D7">
              <w:rPr>
                <w:sz w:val="20"/>
                <w:szCs w:val="20"/>
              </w:rPr>
              <w:t>(</w:t>
            </w:r>
            <w:r w:rsidR="00B25DD5" w:rsidRPr="005B25D7">
              <w:rPr>
                <w:sz w:val="20"/>
                <w:szCs w:val="20"/>
              </w:rPr>
              <w:t xml:space="preserve">the amount </w:t>
            </w:r>
            <w:r w:rsidR="000E09FB" w:rsidRPr="005B25D7">
              <w:rPr>
                <w:sz w:val="20"/>
                <w:szCs w:val="20"/>
              </w:rPr>
              <w:t xml:space="preserve">of income </w:t>
            </w:r>
            <w:r w:rsidR="00B25DD5" w:rsidRPr="005B25D7">
              <w:rPr>
                <w:sz w:val="20"/>
                <w:szCs w:val="20"/>
              </w:rPr>
              <w:t xml:space="preserve">required to </w:t>
            </w:r>
            <w:proofErr w:type="spellStart"/>
            <w:r w:rsidR="00B25DD5" w:rsidRPr="005B25D7">
              <w:rPr>
                <w:sz w:val="20"/>
                <w:szCs w:val="20"/>
              </w:rPr>
              <w:t>fulfil</w:t>
            </w:r>
            <w:r w:rsidR="000E09FB" w:rsidRPr="005B25D7">
              <w:rPr>
                <w:sz w:val="20"/>
                <w:szCs w:val="20"/>
              </w:rPr>
              <w:t>l</w:t>
            </w:r>
            <w:proofErr w:type="spellEnd"/>
            <w:r w:rsidR="00B25DD5" w:rsidRPr="005B25D7">
              <w:rPr>
                <w:sz w:val="20"/>
                <w:szCs w:val="20"/>
              </w:rPr>
              <w:t xml:space="preserve"> the </w:t>
            </w:r>
            <w:r w:rsidR="00AD0B59" w:rsidRPr="005B25D7">
              <w:rPr>
                <w:sz w:val="20"/>
                <w:szCs w:val="20"/>
              </w:rPr>
              <w:t xml:space="preserve">minimum </w:t>
            </w:r>
            <w:r w:rsidR="00B25DD5" w:rsidRPr="005B25D7">
              <w:rPr>
                <w:sz w:val="20"/>
                <w:szCs w:val="20"/>
              </w:rPr>
              <w:t>consumption</w:t>
            </w:r>
            <w:r w:rsidR="00AD0B59" w:rsidRPr="005B25D7">
              <w:rPr>
                <w:sz w:val="20"/>
                <w:szCs w:val="20"/>
              </w:rPr>
              <w:t xml:space="preserve"> needs)</w:t>
            </w:r>
            <w:r w:rsidR="000E09FB" w:rsidRPr="005B25D7">
              <w:rPr>
                <w:sz w:val="20"/>
                <w:szCs w:val="20"/>
              </w:rPr>
              <w:t xml:space="preserve">. </w:t>
            </w:r>
          </w:p>
          <w:p w14:paraId="7E2FB7C7" w14:textId="77777777" w:rsidR="001F3E35" w:rsidRPr="005B25D7" w:rsidRDefault="001F3E35" w:rsidP="00C415AF">
            <w:pPr>
              <w:pStyle w:val="ListParagraph"/>
              <w:ind w:left="0"/>
              <w:jc w:val="both"/>
              <w:rPr>
                <w:sz w:val="20"/>
                <w:szCs w:val="20"/>
              </w:rPr>
            </w:pPr>
          </w:p>
          <w:p w14:paraId="44CC46C7" w14:textId="47F7FB0F" w:rsidR="001F3E35" w:rsidRPr="005B25D7" w:rsidRDefault="002B4CE3" w:rsidP="003C341E">
            <w:pPr>
              <w:pStyle w:val="ListParagraph"/>
              <w:ind w:left="0"/>
              <w:jc w:val="both"/>
              <w:rPr>
                <w:sz w:val="20"/>
                <w:szCs w:val="20"/>
              </w:rPr>
            </w:pPr>
            <w:r w:rsidRPr="00E408F6">
              <w:rPr>
                <w:sz w:val="20"/>
                <w:szCs w:val="20"/>
              </w:rPr>
              <w:t>At-risk-of-poverty threshold</w:t>
            </w:r>
            <w:r w:rsidRPr="005B25D7">
              <w:rPr>
                <w:i/>
                <w:iCs/>
                <w:sz w:val="20"/>
                <w:szCs w:val="20"/>
              </w:rPr>
              <w:t xml:space="preserve"> </w:t>
            </w:r>
            <w:r w:rsidR="001F3E35" w:rsidRPr="005B25D7">
              <w:rPr>
                <w:sz w:val="20"/>
                <w:szCs w:val="20"/>
              </w:rPr>
              <w:t xml:space="preserve">— </w:t>
            </w:r>
            <w:r w:rsidR="000E09FB" w:rsidRPr="005B25D7">
              <w:rPr>
                <w:sz w:val="20"/>
                <w:szCs w:val="20"/>
              </w:rPr>
              <w:t xml:space="preserve">the </w:t>
            </w:r>
            <w:r w:rsidR="005B391D" w:rsidRPr="005B25D7">
              <w:rPr>
                <w:sz w:val="20"/>
                <w:szCs w:val="20"/>
              </w:rPr>
              <w:t xml:space="preserve">amount of </w:t>
            </w:r>
            <w:r w:rsidR="001F3E35" w:rsidRPr="005B25D7">
              <w:rPr>
                <w:sz w:val="20"/>
                <w:szCs w:val="20"/>
              </w:rPr>
              <w:t xml:space="preserve">income </w:t>
            </w:r>
            <w:r w:rsidR="000E09FB" w:rsidRPr="005B25D7">
              <w:rPr>
                <w:sz w:val="20"/>
                <w:szCs w:val="20"/>
              </w:rPr>
              <w:t xml:space="preserve">required for the </w:t>
            </w:r>
            <w:r w:rsidR="001F3E35" w:rsidRPr="005B25D7">
              <w:rPr>
                <w:sz w:val="20"/>
                <w:szCs w:val="20"/>
              </w:rPr>
              <w:t>household</w:t>
            </w:r>
            <w:r w:rsidR="000E09FB" w:rsidRPr="005B25D7">
              <w:rPr>
                <w:sz w:val="20"/>
                <w:szCs w:val="20"/>
              </w:rPr>
              <w:t xml:space="preserve"> that</w:t>
            </w:r>
            <w:r w:rsidR="003B29FD" w:rsidRPr="005B25D7">
              <w:rPr>
                <w:sz w:val="20"/>
                <w:szCs w:val="20"/>
              </w:rPr>
              <w:t xml:space="preserve"> </w:t>
            </w:r>
            <w:r w:rsidR="000E09FB" w:rsidRPr="005B25D7">
              <w:rPr>
                <w:sz w:val="20"/>
                <w:szCs w:val="20"/>
              </w:rPr>
              <w:t xml:space="preserve">should be considered </w:t>
            </w:r>
            <w:r w:rsidR="001F3E35" w:rsidRPr="005B25D7">
              <w:rPr>
                <w:sz w:val="20"/>
                <w:szCs w:val="20"/>
              </w:rPr>
              <w:t>as</w:t>
            </w:r>
            <w:r w:rsidR="000E09FB" w:rsidRPr="005B25D7">
              <w:rPr>
                <w:sz w:val="20"/>
                <w:szCs w:val="20"/>
              </w:rPr>
              <w:t xml:space="preserve"> not </w:t>
            </w:r>
            <w:r w:rsidR="001F3E35" w:rsidRPr="005B25D7">
              <w:rPr>
                <w:sz w:val="20"/>
                <w:szCs w:val="20"/>
              </w:rPr>
              <w:t>livin</w:t>
            </w:r>
            <w:r w:rsidR="000E09FB" w:rsidRPr="005B25D7">
              <w:rPr>
                <w:sz w:val="20"/>
                <w:szCs w:val="20"/>
              </w:rPr>
              <w:t xml:space="preserve">g in </w:t>
            </w:r>
            <w:r w:rsidR="001F3E35" w:rsidRPr="005B25D7">
              <w:rPr>
                <w:sz w:val="20"/>
                <w:szCs w:val="20"/>
              </w:rPr>
              <w:t xml:space="preserve">poverty. </w:t>
            </w:r>
          </w:p>
          <w:p w14:paraId="6183433D" w14:textId="34D0AEBD" w:rsidR="00B36106" w:rsidRPr="005B25D7" w:rsidRDefault="00B36106" w:rsidP="003C341E">
            <w:pPr>
              <w:pStyle w:val="ListParagraph"/>
              <w:ind w:left="0"/>
              <w:jc w:val="both"/>
              <w:rPr>
                <w:sz w:val="20"/>
                <w:szCs w:val="20"/>
              </w:rPr>
            </w:pPr>
          </w:p>
        </w:tc>
        <w:tc>
          <w:tcPr>
            <w:tcW w:w="4508" w:type="dxa"/>
          </w:tcPr>
          <w:p w14:paraId="55825FBA" w14:textId="77777777" w:rsidR="001F3E35" w:rsidRDefault="001F3E35"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p w14:paraId="70767352" w14:textId="600839A1" w:rsidR="001F3E35" w:rsidRPr="00B64BB5" w:rsidRDefault="003C341E"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color w:val="FF0000"/>
              </w:rPr>
            </w:pPr>
            <w:r>
              <w:t>In 2021</w:t>
            </w:r>
            <w:r w:rsidR="00B36106">
              <w:t>,</w:t>
            </w:r>
            <w:r>
              <w:t xml:space="preserve"> an income of an individual </w:t>
            </w:r>
            <w:r w:rsidR="00B36106">
              <w:t xml:space="preserve">is </w:t>
            </w:r>
            <w:r w:rsidR="001F3E35" w:rsidRPr="00512473">
              <w:t>2</w:t>
            </w:r>
            <w:r w:rsidR="00B64BB5">
              <w:t>60</w:t>
            </w:r>
            <w:r w:rsidR="001F3E35" w:rsidRPr="00512473">
              <w:t xml:space="preserve"> euros </w:t>
            </w:r>
            <w:r>
              <w:t xml:space="preserve">per </w:t>
            </w:r>
            <w:r w:rsidR="001F3E35" w:rsidRPr="00512473">
              <w:t>month</w:t>
            </w:r>
            <w:r>
              <w:rPr>
                <w:color w:val="FF0000"/>
              </w:rPr>
              <w:t>.</w:t>
            </w:r>
          </w:p>
          <w:p w14:paraId="782069A3" w14:textId="77777777" w:rsidR="003C341E" w:rsidRDefault="003C341E"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p w14:paraId="092786BB" w14:textId="77777777" w:rsidR="007A0237" w:rsidRDefault="003C341E"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r>
              <w:t>In 2021</w:t>
            </w:r>
            <w:r w:rsidR="00B36106">
              <w:t>,</w:t>
            </w:r>
            <w:r>
              <w:t xml:space="preserve"> an </w:t>
            </w:r>
            <w:r w:rsidR="002B4CE3" w:rsidRPr="00512473">
              <w:t>income of</w:t>
            </w:r>
            <w:r w:rsidR="002B4CE3">
              <w:t xml:space="preserve"> an individual is 483</w:t>
            </w:r>
            <w:r w:rsidR="002B4CE3" w:rsidRPr="00512473">
              <w:t xml:space="preserve"> euros per month</w:t>
            </w:r>
            <w:r w:rsidR="00B64BB5">
              <w:t xml:space="preserve"> and</w:t>
            </w:r>
            <w:r w:rsidR="002B4CE3">
              <w:t xml:space="preserve"> an income of </w:t>
            </w:r>
            <w:r w:rsidR="002B4CE3" w:rsidRPr="00512473">
              <w:t xml:space="preserve">a household </w:t>
            </w:r>
            <w:r w:rsidR="002B4CE3">
              <w:t xml:space="preserve">consisting </w:t>
            </w:r>
            <w:r w:rsidR="002B4CE3" w:rsidRPr="00512473">
              <w:t>of two adults and two children under 14</w:t>
            </w:r>
            <w:r w:rsidR="002B4CE3">
              <w:t xml:space="preserve"> years old is 1015</w:t>
            </w:r>
            <w:r w:rsidR="002B4CE3" w:rsidRPr="00512473">
              <w:t xml:space="preserve"> euros</w:t>
            </w:r>
            <w:r w:rsidR="002B4CE3">
              <w:t xml:space="preserve"> per month. </w:t>
            </w:r>
            <w:r w:rsidR="002B4CE3" w:rsidRPr="00512473">
              <w:t xml:space="preserve"> </w:t>
            </w:r>
          </w:p>
          <w:p w14:paraId="03B77167" w14:textId="0F674DFC" w:rsidR="005B391D" w:rsidRDefault="005B391D"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1F3E35" w14:paraId="78D9CCA1" w14:textId="77777777" w:rsidTr="00FE0B96">
        <w:tc>
          <w:tcPr>
            <w:cnfStyle w:val="001000000000" w:firstRow="0" w:lastRow="0" w:firstColumn="1" w:lastColumn="0" w:oddVBand="0" w:evenVBand="0" w:oddHBand="0" w:evenHBand="0" w:firstRowFirstColumn="0" w:firstRowLastColumn="0" w:lastRowFirstColumn="0" w:lastRowLastColumn="0"/>
            <w:tcW w:w="4508" w:type="dxa"/>
          </w:tcPr>
          <w:p w14:paraId="35299F85" w14:textId="7327B9BE" w:rsidR="00512473" w:rsidRDefault="00301177" w:rsidP="00C415AF">
            <w:pPr>
              <w:pStyle w:val="ListParagraph"/>
              <w:ind w:left="0"/>
              <w:jc w:val="both"/>
            </w:pPr>
            <w:r w:rsidRPr="00E408F6">
              <w:t>P</w:t>
            </w:r>
            <w:r w:rsidR="00512473" w:rsidRPr="00E408F6">
              <w:t>opulation living in poverty</w:t>
            </w:r>
            <w:r w:rsidR="003B29FD">
              <w:rPr>
                <w:rStyle w:val="FootnoteReference"/>
              </w:rPr>
              <w:footnoteReference w:id="4"/>
            </w:r>
          </w:p>
          <w:p w14:paraId="02BD037B" w14:textId="77777777" w:rsidR="007A0237" w:rsidRDefault="007A0237" w:rsidP="00C415AF">
            <w:pPr>
              <w:pStyle w:val="ListParagraph"/>
              <w:ind w:left="0"/>
              <w:jc w:val="both"/>
              <w:rPr>
                <w:rStyle w:val="SubtleEmphasis"/>
              </w:rPr>
            </w:pPr>
          </w:p>
          <w:p w14:paraId="0151FF7D" w14:textId="77777777" w:rsidR="007A0237" w:rsidRDefault="007A0237" w:rsidP="00C415AF">
            <w:pPr>
              <w:pStyle w:val="ListParagraph"/>
              <w:ind w:left="0"/>
              <w:jc w:val="both"/>
              <w:rPr>
                <w:rStyle w:val="SubtleEmphasis"/>
              </w:rPr>
            </w:pPr>
          </w:p>
          <w:p w14:paraId="57103830" w14:textId="6832D9CF" w:rsidR="007A0237" w:rsidRDefault="007A0237" w:rsidP="00C415AF">
            <w:pPr>
              <w:pStyle w:val="ListParagraph"/>
              <w:ind w:left="0"/>
              <w:jc w:val="both"/>
              <w:rPr>
                <w:rStyle w:val="SubtleEmphasis"/>
              </w:rPr>
            </w:pPr>
          </w:p>
          <w:p w14:paraId="6B85BAD1" w14:textId="24486500" w:rsidR="007A0237" w:rsidRPr="001F3E35" w:rsidRDefault="007A0237" w:rsidP="003C341E">
            <w:pPr>
              <w:pStyle w:val="ListParagraph"/>
              <w:ind w:left="0"/>
              <w:jc w:val="both"/>
              <w:rPr>
                <w:rStyle w:val="SubtleEmphasis"/>
              </w:rPr>
            </w:pPr>
          </w:p>
        </w:tc>
        <w:tc>
          <w:tcPr>
            <w:tcW w:w="4508" w:type="dxa"/>
          </w:tcPr>
          <w:p w14:paraId="37096F84" w14:textId="4EAE0E99" w:rsidR="00AD0B59" w:rsidRDefault="00B36106"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r>
              <w:t xml:space="preserve">In 2021, </w:t>
            </w:r>
            <w:r w:rsidR="00B64BB5">
              <w:t>3,9</w:t>
            </w:r>
            <w:r w:rsidR="00AD0B59" w:rsidRPr="00AD0B59">
              <w:t xml:space="preserve"> </w:t>
            </w:r>
            <w:r w:rsidR="00AD0B59">
              <w:t xml:space="preserve">% of the </w:t>
            </w:r>
            <w:r w:rsidR="00AD0B59" w:rsidRPr="00AD0B59">
              <w:t>residents liv</w:t>
            </w:r>
            <w:r>
              <w:t>ed</w:t>
            </w:r>
            <w:r w:rsidR="00AD0B59" w:rsidRPr="00AD0B59">
              <w:t xml:space="preserve"> below the absolute poverty rate.</w:t>
            </w:r>
          </w:p>
          <w:p w14:paraId="3DBACE6F" w14:textId="77777777" w:rsidR="00AB3F11" w:rsidRDefault="00AB3F11"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1CEDE3B2" w14:textId="5271F168" w:rsidR="007A0237" w:rsidRDefault="00B36106"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r>
              <w:t xml:space="preserve">In 2021, </w:t>
            </w:r>
            <w:r w:rsidR="00512473" w:rsidRPr="00512473">
              <w:t>20</w:t>
            </w:r>
            <w:r>
              <w:t>,</w:t>
            </w:r>
            <w:r w:rsidR="00B25DD5">
              <w:t>0</w:t>
            </w:r>
            <w:r w:rsidR="00512473" w:rsidRPr="00512473">
              <w:t xml:space="preserve"> </w:t>
            </w:r>
            <w:r w:rsidR="00AD0B59">
              <w:rPr>
                <w:lang w:val="en-US"/>
              </w:rPr>
              <w:t>%</w:t>
            </w:r>
            <w:r w:rsidR="00512473" w:rsidRPr="00512473">
              <w:t xml:space="preserve"> of the population lived </w:t>
            </w:r>
            <w:r>
              <w:t>below the a</w:t>
            </w:r>
            <w:r w:rsidRPr="00B36106">
              <w:t>t-risk-of-poverty threshold</w:t>
            </w:r>
            <w:r>
              <w:t>.</w:t>
            </w:r>
          </w:p>
          <w:p w14:paraId="045CD812" w14:textId="1A573C86" w:rsidR="007A0237" w:rsidRPr="00512473" w:rsidRDefault="007A0237"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r>
      <w:tr w:rsidR="00FE0B96" w14:paraId="5C528C8C" w14:textId="77777777" w:rsidTr="00FE0B96">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508" w:type="dxa"/>
          </w:tcPr>
          <w:p w14:paraId="47C60E6F" w14:textId="1576B943" w:rsidR="00791A27" w:rsidRDefault="00791A27" w:rsidP="00C415AF">
            <w:pPr>
              <w:pStyle w:val="ListParagraph"/>
              <w:ind w:left="0"/>
              <w:jc w:val="both"/>
            </w:pPr>
            <w:r w:rsidRPr="00E408F6">
              <w:t>Number of practi</w:t>
            </w:r>
            <w:r w:rsidR="005B25D7" w:rsidRPr="00E408F6">
              <w:t>c</w:t>
            </w:r>
            <w:r w:rsidRPr="00E408F6">
              <w:t>ing lawyers</w:t>
            </w:r>
            <w:r w:rsidR="00A94904">
              <w:rPr>
                <w:rStyle w:val="FootnoteReference"/>
              </w:rPr>
              <w:footnoteReference w:id="5"/>
            </w:r>
          </w:p>
        </w:tc>
        <w:tc>
          <w:tcPr>
            <w:tcW w:w="4508" w:type="dxa"/>
          </w:tcPr>
          <w:p w14:paraId="1424A174" w14:textId="223D4ED3" w:rsidR="00791A27" w:rsidRPr="007A540B" w:rsidRDefault="00A94904"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sidRPr="00A94904">
              <w:rPr>
                <w:lang w:val="en-US"/>
              </w:rPr>
              <w:t>2 277</w:t>
            </w:r>
          </w:p>
        </w:tc>
      </w:tr>
      <w:tr w:rsidR="007B7A29" w14:paraId="350D2139" w14:textId="77777777" w:rsidTr="00FE0B96">
        <w:trPr>
          <w:trHeight w:val="697"/>
        </w:trPr>
        <w:tc>
          <w:tcPr>
            <w:cnfStyle w:val="001000000000" w:firstRow="0" w:lastRow="0" w:firstColumn="1" w:lastColumn="0" w:oddVBand="0" w:evenVBand="0" w:oddHBand="0" w:evenHBand="0" w:firstRowFirstColumn="0" w:firstRowLastColumn="0" w:lastRowFirstColumn="0" w:lastRowLastColumn="0"/>
            <w:tcW w:w="4508" w:type="dxa"/>
          </w:tcPr>
          <w:p w14:paraId="0198E1F0" w14:textId="411BC93D" w:rsidR="007B7A29" w:rsidRDefault="007B7A29" w:rsidP="00C415AF">
            <w:pPr>
              <w:pStyle w:val="ListParagraph"/>
              <w:ind w:left="0"/>
              <w:jc w:val="both"/>
            </w:pPr>
            <w:r w:rsidRPr="00E408F6">
              <w:t>Number of lawyers providing legal aid</w:t>
            </w:r>
            <w:r w:rsidR="005B25D7" w:rsidRPr="00E408F6">
              <w:t xml:space="preserve"> </w:t>
            </w:r>
            <w:r w:rsidRPr="00E408F6">
              <w:t>constant</w:t>
            </w:r>
            <w:r w:rsidR="005B25D7" w:rsidRPr="00E408F6">
              <w:t>ly</w:t>
            </w:r>
            <w:r w:rsidR="00A94904">
              <w:rPr>
                <w:rStyle w:val="FootnoteReference"/>
              </w:rPr>
              <w:footnoteReference w:id="6"/>
            </w:r>
          </w:p>
        </w:tc>
        <w:tc>
          <w:tcPr>
            <w:tcW w:w="4508" w:type="dxa"/>
          </w:tcPr>
          <w:p w14:paraId="612073F3" w14:textId="5F6355DE" w:rsidR="007B7A29" w:rsidRDefault="00A94904" w:rsidP="00C415A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36</w:t>
            </w:r>
          </w:p>
        </w:tc>
      </w:tr>
      <w:tr w:rsidR="00FE0B96" w14:paraId="40A313E5" w14:textId="77777777" w:rsidTr="00FE0B9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508" w:type="dxa"/>
          </w:tcPr>
          <w:p w14:paraId="7D996EC5" w14:textId="4359B3BF" w:rsidR="007B7A29" w:rsidRDefault="007B7A29" w:rsidP="00C415AF">
            <w:pPr>
              <w:pStyle w:val="ListParagraph"/>
              <w:ind w:left="0"/>
              <w:jc w:val="both"/>
            </w:pPr>
            <w:r w:rsidRPr="00E408F6">
              <w:t>Number of lawyers providing legal aid in case of necessity</w:t>
            </w:r>
            <w:r w:rsidR="005B25D7">
              <w:rPr>
                <w:rStyle w:val="FootnoteReference"/>
              </w:rPr>
              <w:footnoteReference w:id="7"/>
            </w:r>
          </w:p>
        </w:tc>
        <w:tc>
          <w:tcPr>
            <w:tcW w:w="4508" w:type="dxa"/>
          </w:tcPr>
          <w:p w14:paraId="023B867D" w14:textId="0EB735D0" w:rsidR="007B7A29" w:rsidRDefault="00A94904"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492</w:t>
            </w:r>
          </w:p>
        </w:tc>
      </w:tr>
    </w:tbl>
    <w:p w14:paraId="2F133FEA" w14:textId="77777777" w:rsidR="00791A27" w:rsidRDefault="00791A27" w:rsidP="00C415AF">
      <w:pPr>
        <w:pStyle w:val="ListParagraph"/>
        <w:jc w:val="both"/>
      </w:pPr>
    </w:p>
    <w:p w14:paraId="4C44211A" w14:textId="77777777" w:rsidR="00FE0B96" w:rsidRDefault="00FE0B96" w:rsidP="00C415AF">
      <w:pPr>
        <w:pStyle w:val="ListParagraph"/>
        <w:jc w:val="both"/>
      </w:pPr>
    </w:p>
    <w:p w14:paraId="149B8D3E" w14:textId="77777777" w:rsidR="00FA4F45" w:rsidRDefault="00FA4F45" w:rsidP="00C415AF">
      <w:pPr>
        <w:pStyle w:val="ListParagraph"/>
        <w:jc w:val="both"/>
      </w:pPr>
    </w:p>
    <w:p w14:paraId="2E863E0B" w14:textId="5F19231F" w:rsidR="001C4454" w:rsidRPr="00FA4F45" w:rsidRDefault="001C4454" w:rsidP="00844D85">
      <w:pPr>
        <w:pStyle w:val="Heading1"/>
        <w:numPr>
          <w:ilvl w:val="0"/>
          <w:numId w:val="16"/>
        </w:numPr>
      </w:pPr>
      <w:r w:rsidRPr="00FA4F45">
        <w:t>Legal Aid Organisation / Authority</w:t>
      </w:r>
    </w:p>
    <w:p w14:paraId="5428ABBE" w14:textId="77777777" w:rsidR="00935037" w:rsidRDefault="00935037" w:rsidP="00935037">
      <w:pPr>
        <w:jc w:val="both"/>
      </w:pPr>
    </w:p>
    <w:p w14:paraId="3FA0306D" w14:textId="37FF3FAA" w:rsidR="00935037" w:rsidRDefault="005B25D7" w:rsidP="00935037">
      <w:pPr>
        <w:jc w:val="both"/>
      </w:pPr>
      <w:r>
        <w:t>The l</w:t>
      </w:r>
      <w:r w:rsidRPr="00935037">
        <w:t xml:space="preserve">egal aid </w:t>
      </w:r>
      <w:r>
        <w:t>system i</w:t>
      </w:r>
      <w:r w:rsidR="00935037" w:rsidRPr="00935037">
        <w:t>n Lithuania</w:t>
      </w:r>
      <w:r>
        <w:t xml:space="preserve"> </w:t>
      </w:r>
      <w:r w:rsidR="00935037" w:rsidRPr="00935037">
        <w:t xml:space="preserve">consists of </w:t>
      </w:r>
      <w:r>
        <w:t>P</w:t>
      </w:r>
      <w:r w:rsidR="00935037" w:rsidRPr="00935037">
        <w:t xml:space="preserve">rimary </w:t>
      </w:r>
      <w:r>
        <w:t xml:space="preserve">legal aid </w:t>
      </w:r>
      <w:r w:rsidR="00935037" w:rsidRPr="00935037">
        <w:t xml:space="preserve">and </w:t>
      </w:r>
      <w:r>
        <w:t>S</w:t>
      </w:r>
      <w:r w:rsidR="00935037" w:rsidRPr="00935037">
        <w:t>econdary legal aid.</w:t>
      </w:r>
    </w:p>
    <w:p w14:paraId="2178DE43" w14:textId="312E7B96" w:rsidR="00FA0C49" w:rsidRPr="00626E37" w:rsidRDefault="00FA0C49" w:rsidP="00935037">
      <w:pPr>
        <w:jc w:val="both"/>
      </w:pPr>
      <w:r w:rsidRPr="00626E37">
        <w:rPr>
          <w:b/>
        </w:rPr>
        <w:lastRenderedPageBreak/>
        <w:t>60 municipal</w:t>
      </w:r>
      <w:r w:rsidR="005B25D7">
        <w:rPr>
          <w:b/>
        </w:rPr>
        <w:t>ity administrations</w:t>
      </w:r>
      <w:r w:rsidRPr="00626E37">
        <w:t xml:space="preserve"> organi</w:t>
      </w:r>
      <w:r w:rsidR="005B25D7">
        <w:t>z</w:t>
      </w:r>
      <w:r w:rsidRPr="00626E37">
        <w:t>e and/or provide primary legal aid; pay for the provision of primary legal aid, where primary legal aid is provided by lawyers (professional partnerships of lawyers) or public agencies bas</w:t>
      </w:r>
      <w:r w:rsidR="00D81351">
        <w:t>ed on</w:t>
      </w:r>
      <w:r w:rsidRPr="00626E37">
        <w:t xml:space="preserve"> an agreement concluded with the municipality; regularly inform residents about possibilities of receiving State-guaranteed legal aid and about the conditions of provision thereof in municipalities’ Internet websites, through the media and during meetings with the residents.</w:t>
      </w:r>
      <w:r w:rsidR="00D81351">
        <w:rPr>
          <w:rStyle w:val="FootnoteReference"/>
        </w:rPr>
        <w:footnoteReference w:id="8"/>
      </w:r>
    </w:p>
    <w:p w14:paraId="6EB814A7" w14:textId="183238CF" w:rsidR="00C37A4F" w:rsidRDefault="00CE0FAF" w:rsidP="00CE0FAF">
      <w:pPr>
        <w:jc w:val="both"/>
      </w:pPr>
      <w:r w:rsidRPr="00C37A4F">
        <w:t>Primary legal aid is</w:t>
      </w:r>
      <w:r w:rsidRPr="00626E37">
        <w:t xml:space="preserve"> provided by staff with law degree</w:t>
      </w:r>
      <w:r>
        <w:t>s</w:t>
      </w:r>
      <w:r w:rsidRPr="00626E37">
        <w:t xml:space="preserve"> (jurists) of the municipality administration or lawyers or public agencies contracted by municipalities. </w:t>
      </w:r>
      <w:r w:rsidR="00C37A4F">
        <w:t xml:space="preserve">The </w:t>
      </w:r>
      <w:r w:rsidR="00C37A4F" w:rsidRPr="00C37A4F">
        <w:t xml:space="preserve">conditions for the provision of legal aid </w:t>
      </w:r>
      <w:r w:rsidR="00C37A4F">
        <w:t xml:space="preserve">are defined by </w:t>
      </w:r>
      <w:r>
        <w:t xml:space="preserve">the </w:t>
      </w:r>
      <w:r w:rsidRPr="00626E37">
        <w:t xml:space="preserve">order of the director of the municipality administration or </w:t>
      </w:r>
      <w:r>
        <w:t xml:space="preserve">by the </w:t>
      </w:r>
      <w:r w:rsidRPr="00626E37">
        <w:t>terms of the contract.</w:t>
      </w:r>
      <w:r>
        <w:rPr>
          <w:rStyle w:val="FootnoteReference"/>
        </w:rPr>
        <w:footnoteReference w:id="9"/>
      </w:r>
      <w:r w:rsidRPr="00CE0FAF">
        <w:t xml:space="preserve"> </w:t>
      </w:r>
    </w:p>
    <w:p w14:paraId="314D5B36" w14:textId="2C194E58" w:rsidR="00CE0FAF" w:rsidRDefault="00C37A4F" w:rsidP="00C37A4F">
      <w:pPr>
        <w:jc w:val="both"/>
        <w:rPr>
          <w:bCs/>
        </w:rPr>
      </w:pPr>
      <w:r w:rsidRPr="00C37A4F">
        <w:rPr>
          <w:b/>
          <w:bCs/>
        </w:rPr>
        <w:t>The procedure for granting primary legal aid:</w:t>
      </w:r>
      <w:r>
        <w:t xml:space="preserve"> </w:t>
      </w:r>
      <w:r w:rsidRPr="00626E37">
        <w:t xml:space="preserve"> </w:t>
      </w:r>
      <w:r w:rsidR="00CE0FAF" w:rsidRPr="00626E37">
        <w:t>Municipalities do not take formal decisions to provide legal aid.</w:t>
      </w:r>
      <w:r>
        <w:t xml:space="preserve"> </w:t>
      </w:r>
      <w:r w:rsidR="00CE0FAF" w:rsidRPr="00CE0FAF">
        <w:rPr>
          <w:bCs/>
        </w:rPr>
        <w:t>To receive primary legal aid, a person applies directly to the legal aid provider - a jurist of the municipality, a lawyer, or an NGO with whom the municipal administration has concluded a contract to provide the primary legal aid.</w:t>
      </w:r>
      <w:r w:rsidR="00CE0FAF">
        <w:rPr>
          <w:rStyle w:val="FootnoteReference"/>
          <w:bCs/>
        </w:rPr>
        <w:footnoteReference w:id="10"/>
      </w:r>
    </w:p>
    <w:p w14:paraId="7BF9505A" w14:textId="77777777" w:rsidR="008C4C04" w:rsidRDefault="008C4C04" w:rsidP="00C415AF">
      <w:pPr>
        <w:jc w:val="both"/>
        <w:rPr>
          <w:b/>
          <w:bCs/>
        </w:rPr>
      </w:pPr>
    </w:p>
    <w:p w14:paraId="6438ED75" w14:textId="16D4C795" w:rsidR="000951E0" w:rsidRDefault="000951E0" w:rsidP="00C415AF">
      <w:pPr>
        <w:jc w:val="both"/>
      </w:pPr>
      <w:r w:rsidRPr="00FA0C49">
        <w:rPr>
          <w:b/>
          <w:bCs/>
        </w:rPr>
        <w:t xml:space="preserve">The State-guaranteed Legal Aid Service (SGLAS) </w:t>
      </w:r>
      <w:r>
        <w:t>coordinates the provision of primary legal aid; organi</w:t>
      </w:r>
      <w:r w:rsidR="00D81351">
        <w:t>z</w:t>
      </w:r>
      <w:r>
        <w:t>es the provision of secondary legal aid; takes decisions on the provision of secondary legal aid; concludes agreements with the lawyers providing secondary legal aid and controls the execution of these agreements; enter into agreements for mediation services; organi</w:t>
      </w:r>
      <w:r w:rsidR="00D81351">
        <w:t>z</w:t>
      </w:r>
      <w:r>
        <w:t>e and administer mediation; pays the lawyers a fee for the provisions of legal aid; pays the mediators a fee for mediation; notifies residents about the possibilities and conditions of receiving State-guaranteed legal aid; organi</w:t>
      </w:r>
      <w:r w:rsidR="00D81351">
        <w:t>z</w:t>
      </w:r>
      <w:r>
        <w:t xml:space="preserve">es training </w:t>
      </w:r>
      <w:r w:rsidR="000F4ED3">
        <w:t xml:space="preserve">for legal aid providers to </w:t>
      </w:r>
      <w:r w:rsidR="00D81351">
        <w:t>enhanc</w:t>
      </w:r>
      <w:r w:rsidR="000F4ED3">
        <w:t>e</w:t>
      </w:r>
      <w:r w:rsidR="00D81351">
        <w:t xml:space="preserve"> legal aid provision skil</w:t>
      </w:r>
      <w:r w:rsidR="000F4ED3">
        <w:t>l</w:t>
      </w:r>
      <w:r w:rsidR="00D81351">
        <w:t>s</w:t>
      </w:r>
      <w:r>
        <w:t>; performs other functions defined by the Law on State-guaranteed Legal Aid and other legal acts.</w:t>
      </w:r>
      <w:r w:rsidR="000F4ED3">
        <w:rPr>
          <w:rStyle w:val="FootnoteReference"/>
        </w:rPr>
        <w:footnoteReference w:id="11"/>
      </w:r>
      <w:r>
        <w:t xml:space="preserve"> </w:t>
      </w:r>
    </w:p>
    <w:p w14:paraId="76FA91D2" w14:textId="35E5C221" w:rsidR="000951E0" w:rsidRDefault="000951E0" w:rsidP="00C415AF">
      <w:pPr>
        <w:jc w:val="both"/>
      </w:pPr>
      <w:r>
        <w:t xml:space="preserve">The SGLAS is a budgetary institution established by the Ministry of Justice of the Republic of Lithuania. The main office is in Vilnius city. The SGLAS has 4 regional departments in Kaunas, </w:t>
      </w:r>
      <w:proofErr w:type="spellStart"/>
      <w:r>
        <w:t>Klaipėda</w:t>
      </w:r>
      <w:proofErr w:type="spellEnd"/>
      <w:r>
        <w:t xml:space="preserve">, </w:t>
      </w:r>
      <w:proofErr w:type="spellStart"/>
      <w:r>
        <w:t>Panevėžys</w:t>
      </w:r>
      <w:proofErr w:type="spellEnd"/>
      <w:r w:rsidR="000F4ED3">
        <w:t>,</w:t>
      </w:r>
      <w:r>
        <w:t xml:space="preserve"> and </w:t>
      </w:r>
      <w:proofErr w:type="spellStart"/>
      <w:r>
        <w:t>Šiauliai</w:t>
      </w:r>
      <w:proofErr w:type="spellEnd"/>
      <w:r>
        <w:t xml:space="preserve">, the jurisdiction of which corresponds to the geographical areas of county courts. </w:t>
      </w:r>
      <w:r w:rsidR="00AC3079" w:rsidRPr="00AC3079">
        <w:t>Each department makes its own decisions on legal aid</w:t>
      </w:r>
      <w:r>
        <w:t>. The decisions are prepared by the staff</w:t>
      </w:r>
      <w:r w:rsidR="000F4ED3">
        <w:t xml:space="preserve"> of the department who have</w:t>
      </w:r>
      <w:r>
        <w:t xml:space="preserve"> </w:t>
      </w:r>
      <w:r w:rsidR="000F4ED3">
        <w:t xml:space="preserve">a </w:t>
      </w:r>
      <w:r>
        <w:t>law degree and signed by the Head of the Department.</w:t>
      </w:r>
    </w:p>
    <w:p w14:paraId="145D608F" w14:textId="26BB7451" w:rsidR="000951E0" w:rsidRDefault="000951E0" w:rsidP="00C415AF">
      <w:pPr>
        <w:jc w:val="both"/>
      </w:pPr>
      <w:r>
        <w:t>The activities of the SGLAS are monitored and supervised by the Ministry of Justice.</w:t>
      </w:r>
    </w:p>
    <w:p w14:paraId="08ADC029" w14:textId="124E46AA" w:rsidR="00CE0FAF" w:rsidRDefault="00C37A4F" w:rsidP="00C415AF">
      <w:pPr>
        <w:jc w:val="both"/>
      </w:pPr>
      <w:r w:rsidRPr="00C37A4F">
        <w:rPr>
          <w:b/>
          <w:bCs/>
        </w:rPr>
        <w:t>Procedure for granting secondary legal aid:</w:t>
      </w:r>
      <w:r>
        <w:t xml:space="preserve"> </w:t>
      </w:r>
      <w:r w:rsidR="00F57920" w:rsidRPr="00F57920">
        <w:t xml:space="preserve">A person who wishes to receive secondary legal aid applies to any SGLAS department by </w:t>
      </w:r>
      <w:r w:rsidR="005241E4">
        <w:t>applying</w:t>
      </w:r>
      <w:r w:rsidR="00F57920" w:rsidRPr="00F57920">
        <w:t xml:space="preserve"> the prescribed form and documents</w:t>
      </w:r>
      <w:r w:rsidR="00FB2E65">
        <w:t xml:space="preserve"> proving his eligibility for legal aid</w:t>
      </w:r>
      <w:r w:rsidR="00F57920" w:rsidRPr="00F57920">
        <w:t xml:space="preserve">. The request can be sent by the person providing the primary legal aid. The application can </w:t>
      </w:r>
      <w:r>
        <w:t>b</w:t>
      </w:r>
      <w:r w:rsidR="00F57920" w:rsidRPr="00F57920">
        <w:t xml:space="preserve">e submitted electronically. The department evaluates the </w:t>
      </w:r>
      <w:r>
        <w:t>applicant’s eligibility for legal aid</w:t>
      </w:r>
      <w:r w:rsidR="00F57920" w:rsidRPr="00F57920">
        <w:t xml:space="preserve">. If </w:t>
      </w:r>
      <w:r>
        <w:t>the</w:t>
      </w:r>
      <w:r w:rsidR="00F57920" w:rsidRPr="00F57920">
        <w:t xml:space="preserve"> person has the right to receive </w:t>
      </w:r>
      <w:r>
        <w:t xml:space="preserve">secondary </w:t>
      </w:r>
      <w:r w:rsidR="00F57920" w:rsidRPr="00F57920">
        <w:t>legal aid, the SGLAS department</w:t>
      </w:r>
      <w:r>
        <w:t xml:space="preserve"> </w:t>
      </w:r>
      <w:r w:rsidR="005241E4">
        <w:t>decides</w:t>
      </w:r>
      <w:r w:rsidR="00F57920" w:rsidRPr="00F57920">
        <w:t xml:space="preserve"> to grant it. The decision specifies the scope of legal aid and the </w:t>
      </w:r>
      <w:r>
        <w:t>lawyer</w:t>
      </w:r>
      <w:r w:rsidR="00F57920" w:rsidRPr="00F57920">
        <w:t xml:space="preserve"> appointed to provide legal aid. </w:t>
      </w:r>
      <w:r w:rsidRPr="00F57920">
        <w:t xml:space="preserve">The decision </w:t>
      </w:r>
      <w:r>
        <w:t xml:space="preserve">is sent </w:t>
      </w:r>
      <w:r w:rsidRPr="00F57920">
        <w:t xml:space="preserve">to the </w:t>
      </w:r>
      <w:r>
        <w:t xml:space="preserve">legal aid beneficiary and </w:t>
      </w:r>
      <w:r w:rsidR="00FB2E65">
        <w:t>the appointed lawyer</w:t>
      </w:r>
      <w:r w:rsidRPr="00F57920">
        <w:t xml:space="preserve">. </w:t>
      </w:r>
      <w:r w:rsidR="00F57920" w:rsidRPr="00F57920">
        <w:t>After receiving the decision, the</w:t>
      </w:r>
      <w:r w:rsidR="00FB2E65">
        <w:t xml:space="preserve"> legal aid beneficiary has to address the</w:t>
      </w:r>
      <w:r w:rsidR="00F57920" w:rsidRPr="00F57920">
        <w:t xml:space="preserve"> lawyer</w:t>
      </w:r>
      <w:r w:rsidR="00FB2E65">
        <w:t xml:space="preserve"> </w:t>
      </w:r>
      <w:r w:rsidR="00F57920" w:rsidRPr="00F57920">
        <w:t>specified in the decision.</w:t>
      </w:r>
      <w:r w:rsidR="00FB2E65">
        <w:rPr>
          <w:rStyle w:val="FootnoteReference"/>
        </w:rPr>
        <w:footnoteReference w:id="12"/>
      </w:r>
      <w:r w:rsidR="00F57920" w:rsidRPr="00F57920">
        <w:t xml:space="preserve"> </w:t>
      </w:r>
    </w:p>
    <w:p w14:paraId="399A043C" w14:textId="5333F98A" w:rsidR="00C415AF" w:rsidRDefault="00C415AF" w:rsidP="00C415AF">
      <w:pPr>
        <w:jc w:val="both"/>
      </w:pPr>
      <w:r>
        <w:t xml:space="preserve">In addition to that, in criminal cases where the presence of a </w:t>
      </w:r>
      <w:proofErr w:type="spellStart"/>
      <w:r>
        <w:t>defen</w:t>
      </w:r>
      <w:r w:rsidR="000F4ED3">
        <w:t>s</w:t>
      </w:r>
      <w:r>
        <w:t>e</w:t>
      </w:r>
      <w:proofErr w:type="spellEnd"/>
      <w:r>
        <w:t xml:space="preserve"> lawyer is mandatory</w:t>
      </w:r>
      <w:r w:rsidR="000F4ED3">
        <w:t>,</w:t>
      </w:r>
      <w:r>
        <w:t xml:space="preserve"> </w:t>
      </w:r>
      <w:r w:rsidR="000F4ED3">
        <w:t xml:space="preserve">the Coordinator of the SGLAS selects the lawyer upon a request of a </w:t>
      </w:r>
      <w:r w:rsidR="000F4ED3" w:rsidRPr="000F4ED3">
        <w:t>pre-trial investigation officer prosecutor</w:t>
      </w:r>
      <w:r w:rsidR="000F4ED3">
        <w:t>,</w:t>
      </w:r>
      <w:r w:rsidR="000F4ED3" w:rsidRPr="000F4ED3">
        <w:t xml:space="preserve"> or court</w:t>
      </w:r>
      <w:r w:rsidR="000F4ED3">
        <w:t xml:space="preserve"> and </w:t>
      </w:r>
      <w:r w:rsidR="000F4ED3">
        <w:lastRenderedPageBreak/>
        <w:t>informs them about the selected candidate. The</w:t>
      </w:r>
      <w:r>
        <w:t xml:space="preserve"> </w:t>
      </w:r>
      <w:r w:rsidRPr="00C415AF">
        <w:rPr>
          <w:b/>
          <w:bCs/>
        </w:rPr>
        <w:t>pre-trial investigation officer prosecutor or court</w:t>
      </w:r>
      <w:r>
        <w:t xml:space="preserve"> appoints the </w:t>
      </w:r>
      <w:r w:rsidR="000F4ED3">
        <w:t xml:space="preserve">selected </w:t>
      </w:r>
      <w:r>
        <w:t>lawyer.</w:t>
      </w:r>
      <w:r w:rsidR="001708A7">
        <w:rPr>
          <w:rStyle w:val="FootnoteReference"/>
        </w:rPr>
        <w:footnoteReference w:id="13"/>
      </w:r>
    </w:p>
    <w:p w14:paraId="09D9D2B8" w14:textId="6037121F" w:rsidR="00FA0C49" w:rsidRPr="00626E37" w:rsidRDefault="00FA0C49" w:rsidP="00C415AF">
      <w:pPr>
        <w:ind w:right="180"/>
        <w:jc w:val="both"/>
      </w:pPr>
      <w:r w:rsidRPr="00626E37">
        <w:rPr>
          <w:b/>
        </w:rPr>
        <w:t>Secondary legal aid</w:t>
      </w:r>
      <w:r w:rsidRPr="00626E37">
        <w:t xml:space="preserve"> is provided </w:t>
      </w:r>
      <w:r w:rsidR="001708A7">
        <w:t xml:space="preserve">by lawyers </w:t>
      </w:r>
      <w:r w:rsidRPr="00626E37">
        <w:t>based on the decision of SGLAS</w:t>
      </w:r>
      <w:r w:rsidR="001708A7">
        <w:t xml:space="preserve">, the </w:t>
      </w:r>
      <w:r w:rsidRPr="00626E37">
        <w:t>pre-trial investigation officer</w:t>
      </w:r>
      <w:r w:rsidR="001708A7">
        <w:t xml:space="preserve">, the </w:t>
      </w:r>
      <w:r w:rsidRPr="00626E37">
        <w:t>prosecutor</w:t>
      </w:r>
      <w:r w:rsidR="001708A7">
        <w:t>,</w:t>
      </w:r>
      <w:r w:rsidRPr="00626E37">
        <w:t xml:space="preserve"> or </w:t>
      </w:r>
      <w:r w:rsidR="001708A7">
        <w:t xml:space="preserve">the </w:t>
      </w:r>
      <w:r w:rsidRPr="00626E37">
        <w:t xml:space="preserve">court. </w:t>
      </w:r>
      <w:r w:rsidR="001708A7">
        <w:t>Three types of lawyers provide secondary legal aid</w:t>
      </w:r>
      <w:r w:rsidRPr="00626E37">
        <w:t>:</w:t>
      </w:r>
      <w:r w:rsidR="00856CB0">
        <w:rPr>
          <w:rStyle w:val="FootnoteReference"/>
        </w:rPr>
        <w:footnoteReference w:id="14"/>
      </w:r>
    </w:p>
    <w:p w14:paraId="04759246" w14:textId="475FF35C" w:rsidR="00FA0C49" w:rsidRPr="00626E37" w:rsidRDefault="00856CB0" w:rsidP="00C415AF">
      <w:pPr>
        <w:widowControl w:val="0"/>
        <w:numPr>
          <w:ilvl w:val="0"/>
          <w:numId w:val="2"/>
        </w:numPr>
        <w:spacing w:after="200" w:line="276" w:lineRule="auto"/>
        <w:ind w:hanging="360"/>
        <w:contextualSpacing/>
        <w:jc w:val="both"/>
      </w:pPr>
      <w:r>
        <w:t>L</w:t>
      </w:r>
      <w:r w:rsidR="00FA0C49" w:rsidRPr="00626E37">
        <w:t xml:space="preserve">awyers </w:t>
      </w:r>
      <w:r w:rsidR="00FA0C49" w:rsidRPr="00FA0C49">
        <w:t xml:space="preserve">providing legal aid </w:t>
      </w:r>
      <w:r w:rsidR="005241E4">
        <w:t>constantly</w:t>
      </w:r>
      <w:r w:rsidR="00FA0C49" w:rsidRPr="00626E37">
        <w:t xml:space="preserve">; </w:t>
      </w:r>
    </w:p>
    <w:p w14:paraId="2D79281A" w14:textId="39F0F467" w:rsidR="00FA0C49" w:rsidRPr="00626E37" w:rsidRDefault="00856CB0" w:rsidP="00C415AF">
      <w:pPr>
        <w:widowControl w:val="0"/>
        <w:numPr>
          <w:ilvl w:val="0"/>
          <w:numId w:val="2"/>
        </w:numPr>
        <w:spacing w:after="200" w:line="276" w:lineRule="auto"/>
        <w:ind w:hanging="360"/>
        <w:contextualSpacing/>
        <w:jc w:val="both"/>
      </w:pPr>
      <w:r>
        <w:t>L</w:t>
      </w:r>
      <w:r w:rsidR="00FA0C49" w:rsidRPr="00626E37">
        <w:t>awyers providing legal aid in case of necessity;</w:t>
      </w:r>
    </w:p>
    <w:p w14:paraId="19064959" w14:textId="31EB7A42" w:rsidR="009214DC" w:rsidRDefault="00856CB0" w:rsidP="00C415AF">
      <w:pPr>
        <w:widowControl w:val="0"/>
        <w:numPr>
          <w:ilvl w:val="0"/>
          <w:numId w:val="2"/>
        </w:numPr>
        <w:spacing w:after="200" w:line="276" w:lineRule="auto"/>
        <w:ind w:hanging="360"/>
        <w:contextualSpacing/>
        <w:jc w:val="both"/>
      </w:pPr>
      <w:r>
        <w:t>L</w:t>
      </w:r>
      <w:r w:rsidR="00FA0C49" w:rsidRPr="00626E37">
        <w:t xml:space="preserve">awyers providing legal aid on </w:t>
      </w:r>
      <w:r>
        <w:t xml:space="preserve">an </w:t>
      </w:r>
      <w:r w:rsidR="00FA0C49" w:rsidRPr="00FA0C49">
        <w:rPr>
          <w:i/>
        </w:rPr>
        <w:t>ad hoc</w:t>
      </w:r>
      <w:r w:rsidR="00FA0C49" w:rsidRPr="00626E37">
        <w:t xml:space="preserve"> basis</w:t>
      </w:r>
      <w:r w:rsidR="00FA0C49">
        <w:t>.</w:t>
      </w:r>
    </w:p>
    <w:p w14:paraId="52FE508F" w14:textId="77777777" w:rsidR="00FA0C49" w:rsidRDefault="00FA0C49" w:rsidP="00C415AF">
      <w:pPr>
        <w:widowControl w:val="0"/>
        <w:spacing w:after="200" w:line="276" w:lineRule="auto"/>
        <w:ind w:left="720"/>
        <w:contextualSpacing/>
        <w:jc w:val="both"/>
      </w:pPr>
    </w:p>
    <w:p w14:paraId="1E77B84B" w14:textId="356DC390" w:rsidR="003E2141" w:rsidRDefault="003E2141" w:rsidP="00C415AF">
      <w:pPr>
        <w:jc w:val="both"/>
        <w:rPr>
          <w:rFonts w:cs="Arial"/>
        </w:rPr>
      </w:pPr>
      <w:r w:rsidRPr="0082779C">
        <w:rPr>
          <w:rFonts w:cs="Arial"/>
        </w:rPr>
        <w:t xml:space="preserve">The remuneration of primary legal aid providers is not defined in the Law. The municipalities are free to choose a payment </w:t>
      </w:r>
      <w:r w:rsidR="00574773" w:rsidRPr="0082779C">
        <w:rPr>
          <w:rFonts w:cs="Arial"/>
        </w:rPr>
        <w:t xml:space="preserve">method </w:t>
      </w:r>
      <w:r w:rsidRPr="0082779C">
        <w:rPr>
          <w:rFonts w:cs="Arial"/>
        </w:rPr>
        <w:t xml:space="preserve">and </w:t>
      </w:r>
      <w:r w:rsidR="00574773">
        <w:rPr>
          <w:rFonts w:cs="Arial"/>
        </w:rPr>
        <w:t>a</w:t>
      </w:r>
      <w:r w:rsidRPr="0082779C">
        <w:rPr>
          <w:rFonts w:cs="Arial"/>
        </w:rPr>
        <w:t xml:space="preserve"> </w:t>
      </w:r>
      <w:r w:rsidR="00574773" w:rsidRPr="0082779C">
        <w:rPr>
          <w:rFonts w:cs="Arial"/>
        </w:rPr>
        <w:t xml:space="preserve">remuneration </w:t>
      </w:r>
      <w:r w:rsidRPr="0082779C">
        <w:rPr>
          <w:rFonts w:cs="Arial"/>
        </w:rPr>
        <w:t xml:space="preserve">amount. Whereas the remuneration of </w:t>
      </w:r>
      <w:r w:rsidR="00856CB0">
        <w:rPr>
          <w:rFonts w:cs="Arial"/>
        </w:rPr>
        <w:t xml:space="preserve">the </w:t>
      </w:r>
      <w:r w:rsidRPr="0082779C">
        <w:rPr>
          <w:rFonts w:cs="Arial"/>
        </w:rPr>
        <w:t>lawyer</w:t>
      </w:r>
      <w:r w:rsidR="00856CB0">
        <w:rPr>
          <w:rFonts w:cs="Arial"/>
        </w:rPr>
        <w:t>s</w:t>
      </w:r>
      <w:r w:rsidRPr="0082779C">
        <w:rPr>
          <w:rFonts w:cs="Arial"/>
        </w:rPr>
        <w:t xml:space="preserve"> for the provision of secondary legal aid is determined under a specific regulation, adopted by the Government of the Republic of Lithuania.</w:t>
      </w:r>
      <w:r w:rsidR="00856CB0">
        <w:rPr>
          <w:rStyle w:val="FootnoteReference"/>
          <w:rFonts w:cs="Arial"/>
        </w:rPr>
        <w:footnoteReference w:id="15"/>
      </w:r>
    </w:p>
    <w:p w14:paraId="25CE7762" w14:textId="2011CCB2" w:rsidR="00985D5D" w:rsidRPr="00F12483" w:rsidRDefault="00985D5D" w:rsidP="00985D5D">
      <w:pPr>
        <w:jc w:val="both"/>
        <w:rPr>
          <w:rFonts w:cs="Calibri"/>
        </w:rPr>
      </w:pPr>
      <w:r w:rsidRPr="00013FC6">
        <w:rPr>
          <w:rFonts w:cs="Calibri"/>
          <w:bCs/>
        </w:rPr>
        <w:t>Secondary legal aid providers</w:t>
      </w:r>
      <w:r>
        <w:rPr>
          <w:rFonts w:cs="Calibri"/>
          <w:b/>
        </w:rPr>
        <w:t xml:space="preserve"> </w:t>
      </w:r>
      <w:r w:rsidR="00856CB0">
        <w:rPr>
          <w:rFonts w:cs="Calibri"/>
        </w:rPr>
        <w:t xml:space="preserve">are paid </w:t>
      </w:r>
      <w:r w:rsidRPr="00F12483">
        <w:rPr>
          <w:rFonts w:cs="Calibri"/>
        </w:rPr>
        <w:t>for consulting, representing</w:t>
      </w:r>
      <w:r w:rsidR="00856CB0">
        <w:rPr>
          <w:rFonts w:cs="Calibri"/>
        </w:rPr>
        <w:t>,</w:t>
      </w:r>
      <w:r w:rsidRPr="00F12483">
        <w:rPr>
          <w:rFonts w:cs="Calibri"/>
        </w:rPr>
        <w:t xml:space="preserve"> and defending </w:t>
      </w:r>
      <w:r w:rsidR="00856CB0">
        <w:rPr>
          <w:rFonts w:cs="Calibri"/>
        </w:rPr>
        <w:t>a</w:t>
      </w:r>
      <w:r w:rsidRPr="00F12483">
        <w:rPr>
          <w:rFonts w:cs="Calibri"/>
        </w:rPr>
        <w:t xml:space="preserve"> client at court, pre-trial investigation</w:t>
      </w:r>
      <w:r w:rsidR="00856CB0">
        <w:rPr>
          <w:rFonts w:cs="Calibri"/>
        </w:rPr>
        <w:t>,</w:t>
      </w:r>
      <w:r w:rsidRPr="00F12483">
        <w:rPr>
          <w:rFonts w:cs="Calibri"/>
        </w:rPr>
        <w:t xml:space="preserve"> and </w:t>
      </w:r>
      <w:r w:rsidR="00856CB0">
        <w:rPr>
          <w:rFonts w:cs="Calibri"/>
        </w:rPr>
        <w:t>out-of-court</w:t>
      </w:r>
      <w:r w:rsidRPr="00F12483">
        <w:rPr>
          <w:rFonts w:cs="Calibri"/>
        </w:rPr>
        <w:t xml:space="preserve"> settlement proceedings, drafting procedural documents, </w:t>
      </w:r>
      <w:r w:rsidR="00856CB0">
        <w:rPr>
          <w:rFonts w:cs="Calibri"/>
        </w:rPr>
        <w:t xml:space="preserve">and </w:t>
      </w:r>
      <w:r w:rsidRPr="00F12483">
        <w:rPr>
          <w:rFonts w:cs="Calibri"/>
        </w:rPr>
        <w:t>collecting evidence</w:t>
      </w:r>
      <w:r w:rsidR="00856CB0">
        <w:rPr>
          <w:rFonts w:cs="Calibri"/>
        </w:rPr>
        <w:t>. In addition to that, they can get remuneration for the preparation for</w:t>
      </w:r>
      <w:r w:rsidRPr="00F12483">
        <w:rPr>
          <w:rFonts w:cs="Calibri"/>
        </w:rPr>
        <w:t xml:space="preserve"> the court’s hearing (time normative -1 hour before each hearing), for familiarization with the material (time normative - 1 hour for 1 volume of the documents file), </w:t>
      </w:r>
      <w:r w:rsidR="00856CB0">
        <w:rPr>
          <w:rFonts w:cs="Calibri"/>
        </w:rPr>
        <w:t xml:space="preserve">for </w:t>
      </w:r>
      <w:r w:rsidRPr="00F12483">
        <w:rPr>
          <w:rFonts w:cs="Calibri"/>
        </w:rPr>
        <w:t>waiting in judicial and other institutions in which procedural actions are executed when such actions are started later</w:t>
      </w:r>
      <w:r w:rsidR="00D3056F">
        <w:rPr>
          <w:rFonts w:cs="Calibri"/>
        </w:rPr>
        <w:t xml:space="preserve"> that the time </w:t>
      </w:r>
      <w:r w:rsidR="00D3056F" w:rsidRPr="00D3056F">
        <w:rPr>
          <w:rFonts w:cs="Calibri"/>
        </w:rPr>
        <w:t>set in advance</w:t>
      </w:r>
      <w:r w:rsidRPr="00F12483">
        <w:rPr>
          <w:rFonts w:cs="Calibri"/>
        </w:rPr>
        <w:t>; for time spent traveling to the place of the provision of secondary legal aid or execution of procedural actions and back (</w:t>
      </w:r>
      <w:r w:rsidR="00D3056F">
        <w:rPr>
          <w:rFonts w:cs="Calibri"/>
        </w:rPr>
        <w:t xml:space="preserve">the duration is set by </w:t>
      </w:r>
      <w:r w:rsidRPr="00F12483">
        <w:rPr>
          <w:rFonts w:cs="Calibri"/>
        </w:rPr>
        <w:t xml:space="preserve">the order </w:t>
      </w:r>
      <w:r w:rsidR="00D3056F">
        <w:rPr>
          <w:rFonts w:cs="Calibri"/>
        </w:rPr>
        <w:t>of the Minister of Justice</w:t>
      </w:r>
      <w:r w:rsidRPr="00F12483">
        <w:rPr>
          <w:rFonts w:cs="Calibri"/>
        </w:rPr>
        <w:t>)</w:t>
      </w:r>
      <w:r w:rsidR="00D3056F">
        <w:rPr>
          <w:rFonts w:cs="Calibri"/>
        </w:rPr>
        <w:t>,</w:t>
      </w:r>
      <w:r w:rsidRPr="00F12483">
        <w:rPr>
          <w:rFonts w:cs="Calibri"/>
        </w:rPr>
        <w:t xml:space="preserve"> </w:t>
      </w:r>
      <w:r w:rsidR="00D3056F">
        <w:rPr>
          <w:rFonts w:cs="Calibri"/>
        </w:rPr>
        <w:t xml:space="preserve">for </w:t>
      </w:r>
      <w:r w:rsidRPr="00F12483">
        <w:rPr>
          <w:rFonts w:cs="Calibri"/>
        </w:rPr>
        <w:t>preparing an application to SGLAS re</w:t>
      </w:r>
      <w:r w:rsidR="00D3056F">
        <w:rPr>
          <w:rFonts w:cs="Calibri"/>
        </w:rPr>
        <w:t xml:space="preserve">questing a calculation of the </w:t>
      </w:r>
      <w:r w:rsidRPr="00F12483">
        <w:rPr>
          <w:rFonts w:cs="Calibri"/>
        </w:rPr>
        <w:t>costs of secondary legal aid</w:t>
      </w:r>
      <w:r w:rsidR="00D3056F">
        <w:rPr>
          <w:rFonts w:cs="Calibri"/>
        </w:rPr>
        <w:t xml:space="preserve"> in </w:t>
      </w:r>
      <w:r w:rsidRPr="00F12483">
        <w:rPr>
          <w:rFonts w:cs="Calibri"/>
        </w:rPr>
        <w:t>a particular case (time normative - 0,5 hour)</w:t>
      </w:r>
      <w:r w:rsidR="00D3056F">
        <w:rPr>
          <w:rFonts w:cs="Calibri"/>
        </w:rPr>
        <w:t>,</w:t>
      </w:r>
      <w:r w:rsidRPr="00F12483">
        <w:rPr>
          <w:rFonts w:cs="Calibri"/>
        </w:rPr>
        <w:t xml:space="preserve"> and </w:t>
      </w:r>
      <w:r w:rsidR="00D3056F">
        <w:rPr>
          <w:rFonts w:cs="Calibri"/>
        </w:rPr>
        <w:t>for</w:t>
      </w:r>
      <w:r w:rsidRPr="00F12483">
        <w:rPr>
          <w:rFonts w:cs="Calibri"/>
        </w:rPr>
        <w:t xml:space="preserve"> the time spent for the preparation of the notification on the termination or completion of the provision of secondary legal aid</w:t>
      </w:r>
      <w:r w:rsidR="00D3056F">
        <w:rPr>
          <w:rFonts w:cs="Calibri"/>
        </w:rPr>
        <w:t xml:space="preserve"> in the particular case or</w:t>
      </w:r>
      <w:r w:rsidRPr="00F12483">
        <w:rPr>
          <w:rFonts w:cs="Calibri"/>
        </w:rPr>
        <w:t xml:space="preserve"> for the </w:t>
      </w:r>
      <w:r w:rsidR="00D3056F">
        <w:rPr>
          <w:rFonts w:cs="Calibri"/>
        </w:rPr>
        <w:t xml:space="preserve">assessment of </w:t>
      </w:r>
      <w:r w:rsidR="00D3056F" w:rsidRPr="00F72B57">
        <w:rPr>
          <w:rFonts w:cs="Calibri"/>
        </w:rPr>
        <w:t xml:space="preserve">the </w:t>
      </w:r>
      <w:r w:rsidR="00A35ABF" w:rsidRPr="00F72B57">
        <w:rPr>
          <w:rFonts w:cs="Calibri"/>
        </w:rPr>
        <w:t>claim</w:t>
      </w:r>
      <w:r w:rsidR="00F72B57" w:rsidRPr="00F72B57">
        <w:t xml:space="preserve"> </w:t>
      </w:r>
      <w:r w:rsidR="00F72B57" w:rsidRPr="00F72B57">
        <w:rPr>
          <w:rFonts w:cs="Calibri"/>
        </w:rPr>
        <w:t>reasonableness</w:t>
      </w:r>
      <w:r w:rsidR="00A35ABF">
        <w:rPr>
          <w:rFonts w:cs="Calibri"/>
        </w:rPr>
        <w:t xml:space="preserve"> </w:t>
      </w:r>
      <w:r w:rsidRPr="00F12483">
        <w:rPr>
          <w:rFonts w:cs="Calibri"/>
        </w:rPr>
        <w:t>(time normative - 3 hours).</w:t>
      </w:r>
    </w:p>
    <w:p w14:paraId="2E8932DB" w14:textId="5B3031DD" w:rsidR="00985D5D" w:rsidRDefault="00985D5D" w:rsidP="00C415AF">
      <w:pPr>
        <w:jc w:val="both"/>
        <w:rPr>
          <w:lang w:eastAsia="ko-KR"/>
        </w:rPr>
      </w:pPr>
      <w:r w:rsidRPr="00985D5D">
        <w:t xml:space="preserve">In addition </w:t>
      </w:r>
      <w:r w:rsidR="00ED1AF3">
        <w:t>t</w:t>
      </w:r>
      <w:r w:rsidR="00ED1AF3" w:rsidRPr="00ED1AF3">
        <w:t xml:space="preserve">o the payment for the time spent, </w:t>
      </w:r>
      <w:r w:rsidRPr="00985D5D">
        <w:t xml:space="preserve">the lawyers can get compensation </w:t>
      </w:r>
      <w:r w:rsidR="00ED1AF3">
        <w:t>for</w:t>
      </w:r>
      <w:r w:rsidRPr="00985D5D">
        <w:t xml:space="preserve"> travel </w:t>
      </w:r>
      <w:r>
        <w:t>and</w:t>
      </w:r>
      <w:r w:rsidRPr="00985D5D">
        <w:t xml:space="preserve"> other expenses related to the provision of secondary legal aid. </w:t>
      </w:r>
      <w:r>
        <w:t xml:space="preserve">The </w:t>
      </w:r>
      <w:r w:rsidRPr="00985D5D">
        <w:t xml:space="preserve">documents proving the costs incurred must be provided. </w:t>
      </w:r>
      <w:r w:rsidR="00ED1AF3" w:rsidRPr="00ED1AF3">
        <w:t>0.11 euro</w:t>
      </w:r>
      <w:r w:rsidR="00ED1AF3">
        <w:t>s</w:t>
      </w:r>
      <w:r w:rsidR="00ED1AF3" w:rsidRPr="00ED1AF3">
        <w:t xml:space="preserve"> per </w:t>
      </w:r>
      <w:proofErr w:type="spellStart"/>
      <w:r w:rsidR="00ED1AF3" w:rsidRPr="00ED1AF3">
        <w:t>kilomet</w:t>
      </w:r>
      <w:r w:rsidR="00ED1AF3">
        <w:t>er</w:t>
      </w:r>
      <w:proofErr w:type="spellEnd"/>
      <w:r w:rsidR="00ED1AF3" w:rsidRPr="00ED1AF3">
        <w:t xml:space="preserve"> is compensated for traveling by car. An additional 10% is added </w:t>
      </w:r>
      <w:r w:rsidR="00ED1AF3">
        <w:t xml:space="preserve">for </w:t>
      </w:r>
      <w:r w:rsidR="00ED1AF3" w:rsidRPr="00ED1AF3">
        <w:t>car</w:t>
      </w:r>
      <w:r w:rsidR="00ED1AF3">
        <w:t xml:space="preserve"> exploitation. </w:t>
      </w:r>
    </w:p>
    <w:p w14:paraId="0EE23D8D" w14:textId="7F7717B0" w:rsidR="00985D5D" w:rsidRDefault="00985D5D" w:rsidP="00985D5D">
      <w:pPr>
        <w:jc w:val="both"/>
      </w:pPr>
      <w:r w:rsidRPr="003E2141">
        <w:t>The re</w:t>
      </w:r>
      <w:r w:rsidR="001B3E6A">
        <w:t xml:space="preserve">muneration is different </w:t>
      </w:r>
      <w:r w:rsidRPr="003E2141">
        <w:t xml:space="preserve">for the lawyers who provide secondary legal aid </w:t>
      </w:r>
      <w:r w:rsidR="007E4DE2">
        <w:t>constantly</w:t>
      </w:r>
      <w:r w:rsidRPr="003E2141">
        <w:t xml:space="preserve"> and those who provide secondary legal aid in case of necessity or on </w:t>
      </w:r>
      <w:r w:rsidR="008C4C04">
        <w:t xml:space="preserve">an </w:t>
      </w:r>
      <w:r w:rsidRPr="003E2141">
        <w:rPr>
          <w:i/>
          <w:iCs/>
        </w:rPr>
        <w:t>ad hoc</w:t>
      </w:r>
      <w:r w:rsidRPr="003E2141">
        <w:t xml:space="preserve"> basis.</w:t>
      </w:r>
    </w:p>
    <w:p w14:paraId="0FCB7253" w14:textId="452ADA47" w:rsidR="00E561D4" w:rsidRPr="00626E37" w:rsidRDefault="00E561D4" w:rsidP="00C415AF">
      <w:pPr>
        <w:jc w:val="both"/>
      </w:pPr>
      <w:r w:rsidRPr="00626E37">
        <w:t xml:space="preserve">The lawyer providing secondary legal aid </w:t>
      </w:r>
      <w:r w:rsidR="005241E4">
        <w:t>constantly</w:t>
      </w:r>
      <w:r w:rsidRPr="00626E37">
        <w:t xml:space="preserve"> </w:t>
      </w:r>
      <w:r w:rsidR="005241E4">
        <w:t>must</w:t>
      </w:r>
      <w:r w:rsidRPr="00626E37">
        <w:t xml:space="preserve"> provide legal aid 40 hours per week </w:t>
      </w:r>
      <w:r w:rsidR="007E4DE2">
        <w:t xml:space="preserve">during </w:t>
      </w:r>
      <w:r w:rsidRPr="00626E37">
        <w:t>working hours</w:t>
      </w:r>
      <w:r w:rsidR="00574773">
        <w:t>,</w:t>
      </w:r>
      <w:r w:rsidRPr="00626E37">
        <w:t xml:space="preserve"> at the weekends</w:t>
      </w:r>
      <w:r w:rsidR="00574773">
        <w:t>,</w:t>
      </w:r>
      <w:r w:rsidRPr="00626E37">
        <w:t xml:space="preserve"> and </w:t>
      </w:r>
      <w:r w:rsidR="00574773">
        <w:t xml:space="preserve">on </w:t>
      </w:r>
      <w:r w:rsidRPr="00626E37">
        <w:t>public holidays</w:t>
      </w:r>
      <w:r w:rsidR="007E4DE2">
        <w:t xml:space="preserve">. They </w:t>
      </w:r>
      <w:r w:rsidRPr="00626E37">
        <w:t>cannot provide legal services to private clients</w:t>
      </w:r>
      <w:r w:rsidR="007E4DE2">
        <w:t xml:space="preserve"> and</w:t>
      </w:r>
      <w:r w:rsidRPr="00626E37">
        <w:t xml:space="preserve"> </w:t>
      </w:r>
      <w:r w:rsidR="005241E4">
        <w:t>must</w:t>
      </w:r>
      <w:r w:rsidR="007E4DE2">
        <w:t xml:space="preserve"> </w:t>
      </w:r>
      <w:r w:rsidRPr="00626E37">
        <w:t>inform</w:t>
      </w:r>
      <w:r w:rsidR="009A27EF">
        <w:t xml:space="preserve"> on time the</w:t>
      </w:r>
      <w:r w:rsidRPr="00626E37">
        <w:t xml:space="preserve"> SGLAS about </w:t>
      </w:r>
      <w:r w:rsidR="007E4DE2">
        <w:t>their</w:t>
      </w:r>
      <w:r w:rsidRPr="00626E37">
        <w:t xml:space="preserve"> sickness, maternity, paternity, child delivery leaves as well as other periods when </w:t>
      </w:r>
      <w:r w:rsidR="007E4DE2">
        <w:t xml:space="preserve">they </w:t>
      </w:r>
      <w:r w:rsidRPr="00626E37">
        <w:t xml:space="preserve">cannot provide legal aid. They get </w:t>
      </w:r>
      <w:r w:rsidR="007E4DE2">
        <w:t xml:space="preserve">a </w:t>
      </w:r>
      <w:r w:rsidRPr="00626E37">
        <w:t>fixed monthly salary</w:t>
      </w:r>
      <w:r w:rsidR="009A27EF">
        <w:t xml:space="preserve"> of</w:t>
      </w:r>
      <w:r w:rsidRPr="00626E37">
        <w:t xml:space="preserve"> </w:t>
      </w:r>
      <w:r w:rsidR="004D405E" w:rsidRPr="004D405E">
        <w:t>1</w:t>
      </w:r>
      <w:r w:rsidR="009A27EF">
        <w:t>63</w:t>
      </w:r>
      <w:r w:rsidR="004D405E" w:rsidRPr="004D405E">
        <w:t>.6 BAR</w:t>
      </w:r>
      <w:r w:rsidR="004D405E">
        <w:rPr>
          <w:rStyle w:val="FootnoteReference"/>
        </w:rPr>
        <w:footnoteReference w:id="16"/>
      </w:r>
      <w:r w:rsidR="004D405E" w:rsidRPr="004D405E">
        <w:t xml:space="preserve"> </w:t>
      </w:r>
      <w:r w:rsidRPr="00626E37">
        <w:t xml:space="preserve">irrespective </w:t>
      </w:r>
      <w:r w:rsidR="009A27EF">
        <w:t xml:space="preserve">of </w:t>
      </w:r>
      <w:r w:rsidRPr="00626E37">
        <w:t>the workload they have. In addition to that the lawyers have 28</w:t>
      </w:r>
      <w:r w:rsidR="009A27EF">
        <w:t xml:space="preserve"> </w:t>
      </w:r>
      <w:r w:rsidRPr="00626E37">
        <w:t xml:space="preserve">days </w:t>
      </w:r>
      <w:r w:rsidR="009A27EF">
        <w:t xml:space="preserve">of </w:t>
      </w:r>
      <w:r w:rsidRPr="00626E37">
        <w:t xml:space="preserve">holiday annually. The remuneration is not paid for these days. </w:t>
      </w:r>
    </w:p>
    <w:p w14:paraId="0AED913A" w14:textId="792EC737" w:rsidR="00E561D4" w:rsidRDefault="00E561D4" w:rsidP="00C415AF">
      <w:pPr>
        <w:jc w:val="both"/>
      </w:pPr>
      <w:r w:rsidRPr="00626E37">
        <w:t xml:space="preserve">The SGLAS </w:t>
      </w:r>
      <w:r w:rsidR="005241E4">
        <w:t>must</w:t>
      </w:r>
      <w:r w:rsidRPr="00626E37">
        <w:t xml:space="preserve"> supply the lawyer providing secondary legal aid </w:t>
      </w:r>
      <w:r w:rsidR="005241E4">
        <w:t>constantly</w:t>
      </w:r>
      <w:r w:rsidRPr="00626E37">
        <w:t xml:space="preserve"> with office premises and means of work (phone, fax, computer, IT programs, data basis for lawyers, printer, copying machines, working desk, chair, safe</w:t>
      </w:r>
      <w:r w:rsidR="005241E4">
        <w:t>, etc.</w:t>
      </w:r>
      <w:r w:rsidRPr="00626E37">
        <w:t>) as well as with office stationery (paper, pens</w:t>
      </w:r>
      <w:r w:rsidR="005241E4">
        <w:t>, etc.</w:t>
      </w:r>
      <w:r w:rsidRPr="00626E37">
        <w:t>) free of charge. The SGLAS cover</w:t>
      </w:r>
      <w:r w:rsidR="009A27EF">
        <w:t>s</w:t>
      </w:r>
      <w:r w:rsidRPr="00626E37">
        <w:t xml:space="preserve"> </w:t>
      </w:r>
      <w:r w:rsidRPr="00626E37">
        <w:lastRenderedPageBreak/>
        <w:t xml:space="preserve">all </w:t>
      </w:r>
      <w:r w:rsidR="00574773">
        <w:t xml:space="preserve">office </w:t>
      </w:r>
      <w:r w:rsidR="00574773" w:rsidRPr="00626E37">
        <w:t xml:space="preserve">maintenance </w:t>
      </w:r>
      <w:r w:rsidRPr="00626E37">
        <w:t xml:space="preserve">expenses </w:t>
      </w:r>
      <w:r w:rsidR="009A27EF">
        <w:t xml:space="preserve">such as </w:t>
      </w:r>
      <w:r w:rsidRPr="00626E37">
        <w:t>water, electricity, cleaning</w:t>
      </w:r>
      <w:r w:rsidR="009A27EF">
        <w:t xml:space="preserve">, </w:t>
      </w:r>
      <w:r w:rsidRPr="00626E37">
        <w:t>and other</w:t>
      </w:r>
      <w:r w:rsidR="009A27EF">
        <w:t>s</w:t>
      </w:r>
      <w:r w:rsidRPr="00626E37">
        <w:t xml:space="preserve">. The SGLAS </w:t>
      </w:r>
      <w:r w:rsidR="005241E4">
        <w:t>must</w:t>
      </w:r>
      <w:r w:rsidRPr="00626E37">
        <w:t xml:space="preserve"> ensure </w:t>
      </w:r>
      <w:r w:rsidR="009A27EF" w:rsidRPr="009A27EF">
        <w:t>an appropriate</w:t>
      </w:r>
      <w:r w:rsidR="009A27EF">
        <w:t xml:space="preserve"> </w:t>
      </w:r>
      <w:r w:rsidRPr="00626E37">
        <w:t xml:space="preserve">and equal workload for </w:t>
      </w:r>
      <w:r>
        <w:t xml:space="preserve">the </w:t>
      </w:r>
      <w:r w:rsidRPr="00626E37">
        <w:t>lawyers.</w:t>
      </w:r>
    </w:p>
    <w:p w14:paraId="31EF4915" w14:textId="65C7537C" w:rsidR="001B3E6A" w:rsidRPr="00626E37" w:rsidRDefault="001B3E6A" w:rsidP="00C415AF">
      <w:pPr>
        <w:jc w:val="both"/>
      </w:pPr>
      <w:r w:rsidRPr="0082779C">
        <w:rPr>
          <w:rFonts w:cs="Arial"/>
        </w:rPr>
        <w:t>Remuneration</w:t>
      </w:r>
      <w:r>
        <w:rPr>
          <w:rFonts w:cs="Arial"/>
        </w:rPr>
        <w:t xml:space="preserve"> for the lawyers providing legal aid in case of necessity or on </w:t>
      </w:r>
      <w:r w:rsidR="008C4C04">
        <w:rPr>
          <w:rFonts w:cs="Arial"/>
        </w:rPr>
        <w:t xml:space="preserve">an </w:t>
      </w:r>
      <w:r w:rsidRPr="001B3E6A">
        <w:rPr>
          <w:rFonts w:cs="Arial"/>
          <w:i/>
          <w:iCs/>
        </w:rPr>
        <w:t>ad hoc</w:t>
      </w:r>
      <w:r>
        <w:rPr>
          <w:rFonts w:cs="Arial"/>
        </w:rPr>
        <w:t xml:space="preserve"> basis</w:t>
      </w:r>
      <w:r w:rsidRPr="0082779C">
        <w:rPr>
          <w:rFonts w:cs="Arial"/>
        </w:rPr>
        <w:t xml:space="preserve"> </w:t>
      </w:r>
      <w:r>
        <w:rPr>
          <w:rFonts w:cs="Arial"/>
        </w:rPr>
        <w:t xml:space="preserve">is based on </w:t>
      </w:r>
      <w:r w:rsidRPr="0082779C">
        <w:rPr>
          <w:rFonts w:cs="Arial"/>
        </w:rPr>
        <w:t>the actual time spent for the provision of secondary legal aid in one stage of proceedings</w:t>
      </w:r>
      <w:r>
        <w:rPr>
          <w:rFonts w:cs="Arial"/>
        </w:rPr>
        <w:t xml:space="preserve">. </w:t>
      </w:r>
      <w:r w:rsidR="009D25A2">
        <w:t>The</w:t>
      </w:r>
      <w:r w:rsidRPr="0082779C">
        <w:t xml:space="preserve"> value of </w:t>
      </w:r>
      <w:r w:rsidR="00BD1420">
        <w:t xml:space="preserve">the </w:t>
      </w:r>
      <w:r w:rsidRPr="0082779C">
        <w:t>remuneration for one hour of professional work is equated to 1 BAR.</w:t>
      </w:r>
      <w:r w:rsidR="00BD1420">
        <w:t xml:space="preserve"> The remuneration is played by the SGLAS.  The lawyer has to </w:t>
      </w:r>
      <w:r w:rsidR="00BD1420" w:rsidRPr="00BD1420">
        <w:t xml:space="preserve">submit the request </w:t>
      </w:r>
      <w:r w:rsidR="00BD1420">
        <w:t>for</w:t>
      </w:r>
      <w:r w:rsidR="00BD1420" w:rsidRPr="00BD1420">
        <w:t xml:space="preserve"> payment </w:t>
      </w:r>
      <w:r w:rsidR="00BD1420">
        <w:t>to get the remuneration for</w:t>
      </w:r>
      <w:r w:rsidR="00BD1420" w:rsidRPr="00BD1420">
        <w:t xml:space="preserve"> the</w:t>
      </w:r>
      <w:r w:rsidR="00BD1420">
        <w:t xml:space="preserve"> provided</w:t>
      </w:r>
      <w:r w:rsidR="00BD1420" w:rsidRPr="00BD1420">
        <w:t xml:space="preserve"> legal aid</w:t>
      </w:r>
      <w:r w:rsidR="00BD1420">
        <w:t>.</w:t>
      </w:r>
      <w:r w:rsidR="00BD1420" w:rsidRPr="00BD1420">
        <w:t xml:space="preserve"> </w:t>
      </w:r>
    </w:p>
    <w:p w14:paraId="1182DD83" w14:textId="77777777" w:rsidR="00B51BFE" w:rsidRPr="00CA3212" w:rsidRDefault="00B51BFE" w:rsidP="00C415AF">
      <w:pPr>
        <w:pStyle w:val="ListParagraph"/>
        <w:jc w:val="both"/>
        <w:rPr>
          <w:color w:val="FF0000"/>
        </w:rPr>
      </w:pPr>
    </w:p>
    <w:p w14:paraId="24C9C1BD" w14:textId="4002B6D1" w:rsidR="001C4454" w:rsidRPr="00385A1A" w:rsidRDefault="001C4454" w:rsidP="00844D85">
      <w:pPr>
        <w:pStyle w:val="Heading1"/>
        <w:numPr>
          <w:ilvl w:val="0"/>
          <w:numId w:val="16"/>
        </w:numPr>
      </w:pPr>
      <w:r w:rsidRPr="00385A1A">
        <w:t>Budget and Spend</w:t>
      </w:r>
      <w:r w:rsidR="00844D85">
        <w:t>ing</w:t>
      </w:r>
    </w:p>
    <w:p w14:paraId="2C3B3099" w14:textId="77777777" w:rsidR="008C149D" w:rsidRPr="005E697C" w:rsidRDefault="008C149D" w:rsidP="00C415AF">
      <w:pPr>
        <w:pStyle w:val="ListParagraph"/>
        <w:jc w:val="both"/>
        <w:rPr>
          <w:lang w:val="lt-LT"/>
        </w:rPr>
      </w:pPr>
    </w:p>
    <w:tbl>
      <w:tblPr>
        <w:tblStyle w:val="GridTable6Colorful-Accent5"/>
        <w:tblW w:w="9747" w:type="dxa"/>
        <w:tblLook w:val="04A0" w:firstRow="1" w:lastRow="0" w:firstColumn="1" w:lastColumn="0" w:noHBand="0" w:noVBand="1"/>
      </w:tblPr>
      <w:tblGrid>
        <w:gridCol w:w="1798"/>
        <w:gridCol w:w="1277"/>
        <w:gridCol w:w="1495"/>
        <w:gridCol w:w="1228"/>
        <w:gridCol w:w="1228"/>
        <w:gridCol w:w="1495"/>
        <w:gridCol w:w="1226"/>
      </w:tblGrid>
      <w:tr w:rsidR="00A817FB" w:rsidRPr="008C149D" w14:paraId="3CFDFE34" w14:textId="77777777" w:rsidTr="000A5D33">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798" w:type="dxa"/>
            <w:vMerge w:val="restart"/>
            <w:shd w:val="clear" w:color="auto" w:fill="D9E2F3" w:themeFill="accent5" w:themeFillTint="33"/>
          </w:tcPr>
          <w:p w14:paraId="3C50C3FF" w14:textId="24D10D50" w:rsidR="005F353B" w:rsidRPr="008C149D" w:rsidRDefault="005F353B" w:rsidP="00C415AF">
            <w:pPr>
              <w:pStyle w:val="ListParagraph"/>
              <w:ind w:left="0"/>
              <w:jc w:val="both"/>
              <w:rPr>
                <w:b w:val="0"/>
                <w:bCs w:val="0"/>
              </w:rPr>
            </w:pPr>
            <w:r w:rsidRPr="008C149D">
              <w:t>Budget for Legal Aid</w:t>
            </w:r>
          </w:p>
        </w:tc>
        <w:tc>
          <w:tcPr>
            <w:tcW w:w="4000" w:type="dxa"/>
            <w:gridSpan w:val="3"/>
            <w:shd w:val="clear" w:color="auto" w:fill="D9E2F3" w:themeFill="accent5" w:themeFillTint="33"/>
          </w:tcPr>
          <w:p w14:paraId="0B86DDC8" w14:textId="0B869869" w:rsidR="005F353B" w:rsidRPr="008C149D" w:rsidRDefault="005F353B" w:rsidP="00C415AF">
            <w:pPr>
              <w:pStyle w:val="ListParagraph"/>
              <w:ind w:left="0"/>
              <w:jc w:val="both"/>
              <w:cnfStyle w:val="100000000000" w:firstRow="1" w:lastRow="0" w:firstColumn="0" w:lastColumn="0" w:oddVBand="0" w:evenVBand="0" w:oddHBand="0" w:evenHBand="0" w:firstRowFirstColumn="0" w:firstRowLastColumn="0" w:lastRowFirstColumn="0" w:lastRowLastColumn="0"/>
              <w:rPr>
                <w:b w:val="0"/>
                <w:bCs w:val="0"/>
                <w:lang w:val="en-US"/>
              </w:rPr>
            </w:pPr>
            <w:r w:rsidRPr="008C149D">
              <w:t>In 20</w:t>
            </w:r>
            <w:r w:rsidR="00377C75">
              <w:t>21</w:t>
            </w:r>
            <w:r>
              <w:t xml:space="preserve">, </w:t>
            </w:r>
            <w:proofErr w:type="spellStart"/>
            <w:r w:rsidR="00A817FB">
              <w:t>Eur</w:t>
            </w:r>
            <w:proofErr w:type="spellEnd"/>
          </w:p>
        </w:tc>
        <w:tc>
          <w:tcPr>
            <w:tcW w:w="3949" w:type="dxa"/>
            <w:gridSpan w:val="3"/>
            <w:shd w:val="clear" w:color="auto" w:fill="D9E2F3" w:themeFill="accent5" w:themeFillTint="33"/>
          </w:tcPr>
          <w:p w14:paraId="0B6BADFA" w14:textId="3C82BB5E" w:rsidR="005F353B" w:rsidRPr="008C149D" w:rsidRDefault="005F353B" w:rsidP="00C415AF">
            <w:pPr>
              <w:pStyle w:val="ListParagraph"/>
              <w:ind w:left="0"/>
              <w:jc w:val="both"/>
              <w:cnfStyle w:val="100000000000" w:firstRow="1" w:lastRow="0" w:firstColumn="0" w:lastColumn="0" w:oddVBand="0" w:evenVBand="0" w:oddHBand="0" w:evenHBand="0" w:firstRowFirstColumn="0" w:firstRowLastColumn="0" w:lastRowFirstColumn="0" w:lastRowLastColumn="0"/>
              <w:rPr>
                <w:b w:val="0"/>
                <w:bCs w:val="0"/>
                <w:lang w:val="en-US"/>
              </w:rPr>
            </w:pPr>
            <w:r w:rsidRPr="008C149D">
              <w:rPr>
                <w:lang w:val="en-US"/>
              </w:rPr>
              <w:t>In 202</w:t>
            </w:r>
            <w:r w:rsidR="00377C75">
              <w:rPr>
                <w:lang w:val="en-US"/>
              </w:rPr>
              <w:t>2</w:t>
            </w:r>
            <w:r>
              <w:rPr>
                <w:lang w:val="en-US"/>
              </w:rPr>
              <w:t xml:space="preserve">, </w:t>
            </w:r>
            <w:proofErr w:type="spellStart"/>
            <w:r w:rsidR="00A817FB">
              <w:rPr>
                <w:lang w:val="en-US"/>
              </w:rPr>
              <w:t>Eur</w:t>
            </w:r>
            <w:proofErr w:type="spellEnd"/>
          </w:p>
        </w:tc>
      </w:tr>
      <w:tr w:rsidR="00A817FB" w:rsidRPr="008C149D" w14:paraId="08EC0ACC" w14:textId="77777777" w:rsidTr="00AB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vMerge/>
          </w:tcPr>
          <w:p w14:paraId="5940D2BF" w14:textId="77777777" w:rsidR="005F353B" w:rsidRPr="008C149D" w:rsidRDefault="005F353B" w:rsidP="00C415AF">
            <w:pPr>
              <w:pStyle w:val="ListParagraph"/>
              <w:ind w:left="0"/>
              <w:jc w:val="both"/>
              <w:rPr>
                <w:b w:val="0"/>
                <w:bCs w:val="0"/>
              </w:rPr>
            </w:pPr>
          </w:p>
        </w:tc>
        <w:tc>
          <w:tcPr>
            <w:tcW w:w="1277" w:type="dxa"/>
          </w:tcPr>
          <w:p w14:paraId="26E1BD15" w14:textId="723348B0" w:rsidR="005F353B" w:rsidRPr="008C149D" w:rsidRDefault="005F353B"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rPr>
            </w:pPr>
            <w:r>
              <w:rPr>
                <w:b/>
                <w:bCs/>
              </w:rPr>
              <w:t>State budget</w:t>
            </w:r>
          </w:p>
        </w:tc>
        <w:tc>
          <w:tcPr>
            <w:tcW w:w="1495" w:type="dxa"/>
          </w:tcPr>
          <w:p w14:paraId="3D1FA459" w14:textId="431AF487" w:rsidR="005F353B" w:rsidRPr="008C149D" w:rsidRDefault="005F353B"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rPr>
            </w:pPr>
            <w:r>
              <w:rPr>
                <w:b/>
                <w:bCs/>
              </w:rPr>
              <w:t>Budget of municipalities</w:t>
            </w:r>
          </w:p>
        </w:tc>
        <w:tc>
          <w:tcPr>
            <w:tcW w:w="1228" w:type="dxa"/>
          </w:tcPr>
          <w:p w14:paraId="50AE04F2" w14:textId="5E244C44" w:rsidR="005F353B" w:rsidRPr="008C149D" w:rsidRDefault="005F353B"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Total</w:t>
            </w:r>
          </w:p>
        </w:tc>
        <w:tc>
          <w:tcPr>
            <w:tcW w:w="1228" w:type="dxa"/>
          </w:tcPr>
          <w:p w14:paraId="01F0BC62" w14:textId="6CE24EE4" w:rsidR="005F353B" w:rsidRPr="00645FBE" w:rsidRDefault="005F353B"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lang w:val="en-US"/>
              </w:rPr>
            </w:pPr>
            <w:r w:rsidRPr="00645FBE">
              <w:rPr>
                <w:b/>
                <w:bCs/>
              </w:rPr>
              <w:t>State budget</w:t>
            </w:r>
          </w:p>
        </w:tc>
        <w:tc>
          <w:tcPr>
            <w:tcW w:w="1495" w:type="dxa"/>
          </w:tcPr>
          <w:p w14:paraId="05560D88" w14:textId="1CD3E727" w:rsidR="005F353B" w:rsidRPr="00645FBE" w:rsidRDefault="005F353B"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lang w:val="en-US"/>
              </w:rPr>
            </w:pPr>
            <w:r w:rsidRPr="00F10E94">
              <w:rPr>
                <w:b/>
                <w:bCs/>
              </w:rPr>
              <w:t>Budget of municipalities</w:t>
            </w:r>
          </w:p>
        </w:tc>
        <w:tc>
          <w:tcPr>
            <w:tcW w:w="1226" w:type="dxa"/>
          </w:tcPr>
          <w:p w14:paraId="0B77AB1C" w14:textId="3BEF6313" w:rsidR="005F353B" w:rsidRPr="00645FBE" w:rsidRDefault="005F353B"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lang w:val="en-US"/>
              </w:rPr>
            </w:pPr>
            <w:r w:rsidRPr="00645FBE">
              <w:rPr>
                <w:b/>
                <w:bCs/>
              </w:rPr>
              <w:t>Total</w:t>
            </w:r>
          </w:p>
        </w:tc>
      </w:tr>
      <w:tr w:rsidR="00125B6A" w:rsidRPr="00143A6F" w14:paraId="0A4F8F7D" w14:textId="77777777" w:rsidTr="00AB0B87">
        <w:trPr>
          <w:trHeight w:val="529"/>
        </w:trPr>
        <w:tc>
          <w:tcPr>
            <w:cnfStyle w:val="001000000000" w:firstRow="0" w:lastRow="0" w:firstColumn="1" w:lastColumn="0" w:oddVBand="0" w:evenVBand="0" w:oddHBand="0" w:evenHBand="0" w:firstRowFirstColumn="0" w:firstRowLastColumn="0" w:lastRowFirstColumn="0" w:lastRowLastColumn="0"/>
            <w:tcW w:w="1798" w:type="dxa"/>
          </w:tcPr>
          <w:p w14:paraId="363F5CBB" w14:textId="7996AF05" w:rsidR="00645FBE" w:rsidRPr="00143A6F" w:rsidRDefault="00645FBE" w:rsidP="00C415AF">
            <w:pPr>
              <w:pStyle w:val="ListParagraph"/>
              <w:ind w:left="0"/>
              <w:jc w:val="both"/>
              <w:rPr>
                <w:b w:val="0"/>
                <w:bCs w:val="0"/>
              </w:rPr>
            </w:pPr>
            <w:r w:rsidRPr="00143A6F">
              <w:t>Primary legal aid</w:t>
            </w:r>
          </w:p>
        </w:tc>
        <w:tc>
          <w:tcPr>
            <w:tcW w:w="1277" w:type="dxa"/>
          </w:tcPr>
          <w:p w14:paraId="6B57EE0C" w14:textId="432C58D3" w:rsidR="00645FBE" w:rsidRPr="00143A6F" w:rsidRDefault="00377C75" w:rsidP="00143A6F">
            <w:pPr>
              <w:pStyle w:val="ListParagraph"/>
              <w:ind w:left="0"/>
              <w:jc w:val="right"/>
              <w:cnfStyle w:val="000000000000" w:firstRow="0" w:lastRow="0" w:firstColumn="0" w:lastColumn="0" w:oddVBand="0" w:evenVBand="0" w:oddHBand="0" w:evenHBand="0" w:firstRowFirstColumn="0" w:firstRowLastColumn="0" w:lastRowFirstColumn="0" w:lastRowLastColumn="0"/>
              <w:rPr>
                <w:b/>
                <w:bCs/>
              </w:rPr>
            </w:pPr>
            <w:r w:rsidRPr="00143A6F">
              <w:rPr>
                <w:b/>
                <w:bCs/>
              </w:rPr>
              <w:t>675</w:t>
            </w:r>
            <w:r w:rsidR="00844D85">
              <w:rPr>
                <w:b/>
                <w:bCs/>
              </w:rPr>
              <w:t xml:space="preserve"> </w:t>
            </w:r>
            <w:r w:rsidRPr="00143A6F">
              <w:rPr>
                <w:b/>
                <w:bCs/>
              </w:rPr>
              <w:t>592</w:t>
            </w:r>
          </w:p>
        </w:tc>
        <w:tc>
          <w:tcPr>
            <w:tcW w:w="1495" w:type="dxa"/>
          </w:tcPr>
          <w:p w14:paraId="37D53F56" w14:textId="3CA75BE6" w:rsidR="00645FBE" w:rsidRPr="00143A6F" w:rsidRDefault="00377C75" w:rsidP="00143A6F">
            <w:pPr>
              <w:pStyle w:val="ListParagraph"/>
              <w:ind w:left="0"/>
              <w:jc w:val="right"/>
              <w:cnfStyle w:val="000000000000" w:firstRow="0" w:lastRow="0" w:firstColumn="0" w:lastColumn="0" w:oddVBand="0" w:evenVBand="0" w:oddHBand="0" w:evenHBand="0" w:firstRowFirstColumn="0" w:firstRowLastColumn="0" w:lastRowFirstColumn="0" w:lastRowLastColumn="0"/>
              <w:rPr>
                <w:b/>
                <w:bCs/>
              </w:rPr>
            </w:pPr>
            <w:r w:rsidRPr="00143A6F">
              <w:rPr>
                <w:b/>
                <w:bCs/>
              </w:rPr>
              <w:t>429</w:t>
            </w:r>
            <w:r w:rsidR="000A5D33">
              <w:rPr>
                <w:b/>
                <w:bCs/>
              </w:rPr>
              <w:t xml:space="preserve"> </w:t>
            </w:r>
            <w:r w:rsidRPr="00143A6F">
              <w:rPr>
                <w:b/>
                <w:bCs/>
              </w:rPr>
              <w:t>219</w:t>
            </w:r>
          </w:p>
        </w:tc>
        <w:tc>
          <w:tcPr>
            <w:tcW w:w="1228" w:type="dxa"/>
          </w:tcPr>
          <w:p w14:paraId="138B4ECC" w14:textId="13D69524" w:rsidR="00645FBE" w:rsidRPr="00143A6F" w:rsidRDefault="00377C75" w:rsidP="00143A6F">
            <w:pPr>
              <w:pStyle w:val="ListParagraph"/>
              <w:ind w:left="0"/>
              <w:jc w:val="right"/>
              <w:cnfStyle w:val="000000000000" w:firstRow="0" w:lastRow="0" w:firstColumn="0" w:lastColumn="0" w:oddVBand="0" w:evenVBand="0" w:oddHBand="0" w:evenHBand="0" w:firstRowFirstColumn="0" w:firstRowLastColumn="0" w:lastRowFirstColumn="0" w:lastRowLastColumn="0"/>
              <w:rPr>
                <w:b/>
                <w:bCs/>
                <w:lang w:val="en-US"/>
              </w:rPr>
            </w:pPr>
            <w:r w:rsidRPr="00143A6F">
              <w:rPr>
                <w:b/>
                <w:bCs/>
                <w:lang w:val="en-US"/>
              </w:rPr>
              <w:t>1</w:t>
            </w:r>
            <w:r w:rsidR="000A5D33">
              <w:rPr>
                <w:b/>
                <w:bCs/>
                <w:lang w:val="en-US"/>
              </w:rPr>
              <w:t xml:space="preserve"> </w:t>
            </w:r>
            <w:r w:rsidRPr="00143A6F">
              <w:rPr>
                <w:b/>
                <w:bCs/>
                <w:lang w:val="en-US"/>
              </w:rPr>
              <w:t>104</w:t>
            </w:r>
            <w:r w:rsidR="000A5D33">
              <w:rPr>
                <w:b/>
                <w:bCs/>
                <w:lang w:val="en-US"/>
              </w:rPr>
              <w:t xml:space="preserve"> </w:t>
            </w:r>
            <w:r w:rsidRPr="00143A6F">
              <w:rPr>
                <w:b/>
                <w:bCs/>
                <w:lang w:val="en-US"/>
              </w:rPr>
              <w:t>811</w:t>
            </w:r>
          </w:p>
        </w:tc>
        <w:tc>
          <w:tcPr>
            <w:tcW w:w="1228" w:type="dxa"/>
          </w:tcPr>
          <w:p w14:paraId="51201FAE" w14:textId="641ECBEA" w:rsidR="00645FBE" w:rsidRPr="00143A6F" w:rsidRDefault="00377C75" w:rsidP="00143A6F">
            <w:pPr>
              <w:pStyle w:val="ListParagraph"/>
              <w:ind w:left="0"/>
              <w:jc w:val="right"/>
              <w:cnfStyle w:val="000000000000" w:firstRow="0" w:lastRow="0" w:firstColumn="0" w:lastColumn="0" w:oddVBand="0" w:evenVBand="0" w:oddHBand="0" w:evenHBand="0" w:firstRowFirstColumn="0" w:firstRowLastColumn="0" w:lastRowFirstColumn="0" w:lastRowLastColumn="0"/>
              <w:rPr>
                <w:b/>
                <w:bCs/>
                <w:lang w:val="en-US"/>
              </w:rPr>
            </w:pPr>
            <w:r w:rsidRPr="00143A6F">
              <w:rPr>
                <w:b/>
                <w:bCs/>
                <w:lang w:val="en-US"/>
              </w:rPr>
              <w:t>701</w:t>
            </w:r>
            <w:r w:rsidR="00AB0B87">
              <w:rPr>
                <w:b/>
                <w:bCs/>
                <w:lang w:val="en-US"/>
              </w:rPr>
              <w:t xml:space="preserve"> </w:t>
            </w:r>
            <w:r w:rsidRPr="00143A6F">
              <w:rPr>
                <w:b/>
                <w:bCs/>
                <w:lang w:val="en-US"/>
              </w:rPr>
              <w:t>555</w:t>
            </w:r>
          </w:p>
        </w:tc>
        <w:tc>
          <w:tcPr>
            <w:tcW w:w="1495" w:type="dxa"/>
          </w:tcPr>
          <w:p w14:paraId="4A00CC86" w14:textId="0C81C486" w:rsidR="00645FBE" w:rsidRPr="00143A6F" w:rsidRDefault="00377C75" w:rsidP="00143A6F">
            <w:pPr>
              <w:pStyle w:val="ListParagraph"/>
              <w:ind w:left="0"/>
              <w:jc w:val="right"/>
              <w:cnfStyle w:val="000000000000" w:firstRow="0" w:lastRow="0" w:firstColumn="0" w:lastColumn="0" w:oddVBand="0" w:evenVBand="0" w:oddHBand="0" w:evenHBand="0" w:firstRowFirstColumn="0" w:firstRowLastColumn="0" w:lastRowFirstColumn="0" w:lastRowLastColumn="0"/>
              <w:rPr>
                <w:b/>
                <w:bCs/>
                <w:lang w:val="en-US"/>
              </w:rPr>
            </w:pPr>
            <w:r w:rsidRPr="00143A6F">
              <w:rPr>
                <w:b/>
                <w:bCs/>
                <w:lang w:val="en-US"/>
              </w:rPr>
              <w:t>446</w:t>
            </w:r>
            <w:r w:rsidR="00AB0B87">
              <w:rPr>
                <w:b/>
                <w:bCs/>
                <w:lang w:val="en-US"/>
              </w:rPr>
              <w:t xml:space="preserve"> </w:t>
            </w:r>
            <w:r w:rsidRPr="00143A6F">
              <w:rPr>
                <w:b/>
                <w:bCs/>
                <w:lang w:val="en-US"/>
              </w:rPr>
              <w:t>635</w:t>
            </w:r>
          </w:p>
        </w:tc>
        <w:tc>
          <w:tcPr>
            <w:tcW w:w="1226" w:type="dxa"/>
          </w:tcPr>
          <w:p w14:paraId="0AEB9213" w14:textId="31DA5E54" w:rsidR="00645FBE" w:rsidRPr="00143A6F" w:rsidRDefault="00377C75" w:rsidP="00143A6F">
            <w:pPr>
              <w:pStyle w:val="ListParagraph"/>
              <w:ind w:left="0"/>
              <w:jc w:val="right"/>
              <w:cnfStyle w:val="000000000000" w:firstRow="0" w:lastRow="0" w:firstColumn="0" w:lastColumn="0" w:oddVBand="0" w:evenVBand="0" w:oddHBand="0" w:evenHBand="0" w:firstRowFirstColumn="0" w:firstRowLastColumn="0" w:lastRowFirstColumn="0" w:lastRowLastColumn="0"/>
              <w:rPr>
                <w:b/>
                <w:bCs/>
                <w:lang w:val="en-US"/>
              </w:rPr>
            </w:pPr>
            <w:r w:rsidRPr="00143A6F">
              <w:rPr>
                <w:b/>
                <w:bCs/>
                <w:lang w:val="en-US"/>
              </w:rPr>
              <w:t>1</w:t>
            </w:r>
            <w:r w:rsidR="00AB0B87">
              <w:rPr>
                <w:b/>
                <w:bCs/>
                <w:lang w:val="en-US"/>
              </w:rPr>
              <w:t xml:space="preserve"> </w:t>
            </w:r>
            <w:r w:rsidRPr="00143A6F">
              <w:rPr>
                <w:b/>
                <w:bCs/>
                <w:lang w:val="en-US"/>
              </w:rPr>
              <w:t>148</w:t>
            </w:r>
            <w:r w:rsidR="00AB0B87">
              <w:rPr>
                <w:b/>
                <w:bCs/>
                <w:lang w:val="en-US"/>
              </w:rPr>
              <w:t xml:space="preserve"> </w:t>
            </w:r>
            <w:r w:rsidRPr="00143A6F">
              <w:rPr>
                <w:b/>
                <w:bCs/>
                <w:lang w:val="en-US"/>
              </w:rPr>
              <w:t>290</w:t>
            </w:r>
          </w:p>
        </w:tc>
      </w:tr>
      <w:tr w:rsidR="00A817FB" w:rsidRPr="00143A6F" w14:paraId="6A40F208" w14:textId="77777777" w:rsidTr="00AB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BBB5078" w14:textId="40347804" w:rsidR="00645FBE" w:rsidRPr="00143A6F" w:rsidRDefault="00645FBE" w:rsidP="00C415AF">
            <w:pPr>
              <w:pStyle w:val="ListParagraph"/>
              <w:ind w:left="0"/>
              <w:jc w:val="both"/>
              <w:rPr>
                <w:b w:val="0"/>
                <w:bCs w:val="0"/>
              </w:rPr>
            </w:pPr>
            <w:r w:rsidRPr="00143A6F">
              <w:t>Secondary legal aid</w:t>
            </w:r>
            <w:r w:rsidR="000D5847" w:rsidRPr="00143A6F">
              <w:t xml:space="preserve"> (total)</w:t>
            </w:r>
          </w:p>
        </w:tc>
        <w:tc>
          <w:tcPr>
            <w:tcW w:w="1277" w:type="dxa"/>
          </w:tcPr>
          <w:p w14:paraId="649076D2" w14:textId="4E48200F" w:rsidR="00645FBE" w:rsidRPr="00143A6F" w:rsidRDefault="00143A6F" w:rsidP="00143A6F">
            <w:pPr>
              <w:pStyle w:val="ListParagraph"/>
              <w:ind w:left="0"/>
              <w:jc w:val="right"/>
              <w:cnfStyle w:val="000000100000" w:firstRow="0" w:lastRow="0" w:firstColumn="0" w:lastColumn="0" w:oddVBand="0" w:evenVBand="0" w:oddHBand="1" w:evenHBand="0" w:firstRowFirstColumn="0" w:firstRowLastColumn="0" w:lastRowFirstColumn="0" w:lastRowLastColumn="0"/>
              <w:rPr>
                <w:b/>
                <w:bCs/>
              </w:rPr>
            </w:pPr>
            <w:r w:rsidRPr="00143A6F">
              <w:rPr>
                <w:b/>
                <w:bCs/>
              </w:rPr>
              <w:t>6</w:t>
            </w:r>
            <w:r w:rsidR="00844D85">
              <w:rPr>
                <w:b/>
                <w:bCs/>
              </w:rPr>
              <w:t xml:space="preserve"> </w:t>
            </w:r>
            <w:r w:rsidRPr="00143A6F">
              <w:rPr>
                <w:b/>
                <w:bCs/>
              </w:rPr>
              <w:t>328</w:t>
            </w:r>
            <w:r w:rsidR="00844D85">
              <w:rPr>
                <w:b/>
                <w:bCs/>
              </w:rPr>
              <w:t xml:space="preserve"> </w:t>
            </w:r>
            <w:r w:rsidRPr="00143A6F">
              <w:rPr>
                <w:b/>
                <w:bCs/>
              </w:rPr>
              <w:t>263</w:t>
            </w:r>
          </w:p>
        </w:tc>
        <w:tc>
          <w:tcPr>
            <w:tcW w:w="1495" w:type="dxa"/>
          </w:tcPr>
          <w:p w14:paraId="1C0AD7B9" w14:textId="535B2575" w:rsidR="00645FBE" w:rsidRPr="00143A6F" w:rsidRDefault="00F20532" w:rsidP="000A5D33">
            <w:pPr>
              <w:pStyle w:val="ListParagraph"/>
              <w:ind w:left="0"/>
              <w:cnfStyle w:val="000000100000" w:firstRow="0" w:lastRow="0" w:firstColumn="0" w:lastColumn="0" w:oddVBand="0" w:evenVBand="0" w:oddHBand="1" w:evenHBand="0" w:firstRowFirstColumn="0" w:firstRowLastColumn="0" w:lastRowFirstColumn="0" w:lastRowLastColumn="0"/>
            </w:pPr>
            <w:r w:rsidRPr="00143A6F">
              <w:t>Not applicable</w:t>
            </w:r>
          </w:p>
        </w:tc>
        <w:tc>
          <w:tcPr>
            <w:tcW w:w="1228" w:type="dxa"/>
          </w:tcPr>
          <w:p w14:paraId="4AE42615" w14:textId="7109356C" w:rsidR="00645FBE" w:rsidRPr="00143A6F" w:rsidRDefault="00645FBE"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lang w:val="en-US"/>
              </w:rPr>
            </w:pPr>
          </w:p>
        </w:tc>
        <w:tc>
          <w:tcPr>
            <w:tcW w:w="1228" w:type="dxa"/>
          </w:tcPr>
          <w:p w14:paraId="4C00176D" w14:textId="3708B544" w:rsidR="00645FBE" w:rsidRPr="00143A6F" w:rsidRDefault="00D1229C" w:rsidP="00143A6F">
            <w:pPr>
              <w:pStyle w:val="ListParagraph"/>
              <w:ind w:left="0"/>
              <w:jc w:val="right"/>
              <w:cnfStyle w:val="000000100000" w:firstRow="0" w:lastRow="0" w:firstColumn="0" w:lastColumn="0" w:oddVBand="0" w:evenVBand="0" w:oddHBand="1" w:evenHBand="0" w:firstRowFirstColumn="0" w:firstRowLastColumn="0" w:lastRowFirstColumn="0" w:lastRowLastColumn="0"/>
              <w:rPr>
                <w:b/>
                <w:bCs/>
                <w:lang w:val="en-US"/>
              </w:rPr>
            </w:pPr>
            <w:r w:rsidRPr="00143A6F">
              <w:rPr>
                <w:b/>
                <w:bCs/>
                <w:lang w:val="en-US"/>
              </w:rPr>
              <w:t>6</w:t>
            </w:r>
            <w:r w:rsidR="00AB0B87">
              <w:rPr>
                <w:b/>
                <w:bCs/>
                <w:lang w:val="en-US"/>
              </w:rPr>
              <w:t xml:space="preserve"> </w:t>
            </w:r>
            <w:r w:rsidRPr="00143A6F">
              <w:rPr>
                <w:b/>
                <w:bCs/>
                <w:lang w:val="en-US"/>
              </w:rPr>
              <w:t>772</w:t>
            </w:r>
            <w:r w:rsidR="00AB0B87">
              <w:rPr>
                <w:b/>
                <w:bCs/>
                <w:lang w:val="en-US"/>
              </w:rPr>
              <w:t xml:space="preserve"> </w:t>
            </w:r>
            <w:r w:rsidRPr="00143A6F">
              <w:rPr>
                <w:b/>
                <w:bCs/>
                <w:lang w:val="en-US"/>
              </w:rPr>
              <w:t>021</w:t>
            </w:r>
          </w:p>
        </w:tc>
        <w:tc>
          <w:tcPr>
            <w:tcW w:w="1495" w:type="dxa"/>
          </w:tcPr>
          <w:p w14:paraId="3F3FBB22" w14:textId="42E6CEA6" w:rsidR="00645FBE" w:rsidRPr="00143A6F" w:rsidRDefault="00F20532"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sidRPr="00143A6F">
              <w:rPr>
                <w:lang w:val="en-US"/>
              </w:rPr>
              <w:t>Not applicable</w:t>
            </w:r>
          </w:p>
        </w:tc>
        <w:tc>
          <w:tcPr>
            <w:tcW w:w="1226" w:type="dxa"/>
          </w:tcPr>
          <w:p w14:paraId="67029CA9" w14:textId="1BB30E7E" w:rsidR="00645FBE" w:rsidRPr="00143A6F" w:rsidRDefault="00645FBE"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b/>
                <w:bCs/>
                <w:lang w:val="en-US"/>
              </w:rPr>
            </w:pPr>
          </w:p>
        </w:tc>
      </w:tr>
      <w:tr w:rsidR="00F63BEB" w:rsidRPr="00F63BEB" w14:paraId="7A9E7EC0" w14:textId="77777777" w:rsidTr="00AB0B87">
        <w:tc>
          <w:tcPr>
            <w:cnfStyle w:val="001000000000" w:firstRow="0" w:lastRow="0" w:firstColumn="1" w:lastColumn="0" w:oddVBand="0" w:evenVBand="0" w:oddHBand="0" w:evenHBand="0" w:firstRowFirstColumn="0" w:firstRowLastColumn="0" w:lastRowFirstColumn="0" w:lastRowLastColumn="0"/>
            <w:tcW w:w="9747" w:type="dxa"/>
            <w:gridSpan w:val="7"/>
            <w:shd w:val="clear" w:color="auto" w:fill="auto"/>
          </w:tcPr>
          <w:p w14:paraId="123AF38F" w14:textId="77E3F2CF" w:rsidR="00F63BEB" w:rsidRPr="00F63BEB" w:rsidRDefault="00F63BEB" w:rsidP="00C415AF">
            <w:pPr>
              <w:pStyle w:val="ListParagraph"/>
              <w:ind w:left="0"/>
              <w:jc w:val="both"/>
              <w:rPr>
                <w:lang w:val="en-US"/>
              </w:rPr>
            </w:pPr>
            <w:r w:rsidRPr="00F63BEB">
              <w:t>Remuneration of lawyers providing legal aid on constant bases</w:t>
            </w:r>
          </w:p>
        </w:tc>
      </w:tr>
      <w:tr w:rsidR="00A817FB" w14:paraId="6E078B26" w14:textId="77777777" w:rsidTr="00AB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162818CB" w14:textId="1BC3EB93" w:rsidR="00820175" w:rsidRPr="00F20532" w:rsidRDefault="00F63BEB" w:rsidP="00C415AF">
            <w:pPr>
              <w:pStyle w:val="ListParagraph"/>
              <w:ind w:left="0"/>
              <w:jc w:val="both"/>
              <w:rPr>
                <w:sz w:val="20"/>
                <w:szCs w:val="20"/>
              </w:rPr>
            </w:pPr>
            <w:r w:rsidRPr="00F20532">
              <w:rPr>
                <w:sz w:val="20"/>
                <w:szCs w:val="20"/>
              </w:rPr>
              <w:t xml:space="preserve">Civil, administrative, </w:t>
            </w:r>
            <w:r w:rsidR="00574773">
              <w:rPr>
                <w:sz w:val="20"/>
                <w:szCs w:val="20"/>
              </w:rPr>
              <w:t xml:space="preserve">and </w:t>
            </w:r>
            <w:r w:rsidRPr="00F20532">
              <w:rPr>
                <w:sz w:val="20"/>
                <w:szCs w:val="20"/>
              </w:rPr>
              <w:t>constitutional cases</w:t>
            </w:r>
          </w:p>
        </w:tc>
        <w:tc>
          <w:tcPr>
            <w:tcW w:w="1277" w:type="dxa"/>
            <w:shd w:val="clear" w:color="auto" w:fill="auto"/>
          </w:tcPr>
          <w:p w14:paraId="1B4BEDB4" w14:textId="079FD8CA" w:rsidR="00820175" w:rsidRDefault="009F5486" w:rsidP="00C323F1">
            <w:pPr>
              <w:pStyle w:val="ListParagraph"/>
              <w:ind w:left="0"/>
              <w:jc w:val="right"/>
              <w:cnfStyle w:val="000000100000" w:firstRow="0" w:lastRow="0" w:firstColumn="0" w:lastColumn="0" w:oddVBand="0" w:evenVBand="0" w:oddHBand="1" w:evenHBand="0" w:firstRowFirstColumn="0" w:firstRowLastColumn="0" w:lastRowFirstColumn="0" w:lastRowLastColumn="0"/>
            </w:pPr>
            <w:r>
              <w:t>872 858</w:t>
            </w:r>
          </w:p>
        </w:tc>
        <w:tc>
          <w:tcPr>
            <w:tcW w:w="1495" w:type="dxa"/>
            <w:shd w:val="clear" w:color="auto" w:fill="auto"/>
          </w:tcPr>
          <w:p w14:paraId="4AEAD095" w14:textId="550161FE" w:rsidR="00820175" w:rsidRDefault="00820175" w:rsidP="008B7763">
            <w:pPr>
              <w:pStyle w:val="ListParagraph"/>
              <w:ind w:left="0"/>
              <w:jc w:val="right"/>
              <w:cnfStyle w:val="000000100000" w:firstRow="0" w:lastRow="0" w:firstColumn="0" w:lastColumn="0" w:oddVBand="0" w:evenVBand="0" w:oddHBand="1" w:evenHBand="0" w:firstRowFirstColumn="0" w:firstRowLastColumn="0" w:lastRowFirstColumn="0" w:lastRowLastColumn="0"/>
            </w:pPr>
          </w:p>
        </w:tc>
        <w:tc>
          <w:tcPr>
            <w:tcW w:w="1228" w:type="dxa"/>
            <w:shd w:val="clear" w:color="auto" w:fill="auto"/>
          </w:tcPr>
          <w:p w14:paraId="2D50B4D4" w14:textId="77777777" w:rsidR="00820175" w:rsidRDefault="00820175"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p>
        </w:tc>
        <w:tc>
          <w:tcPr>
            <w:tcW w:w="1228" w:type="dxa"/>
            <w:shd w:val="clear" w:color="auto" w:fill="auto"/>
          </w:tcPr>
          <w:p w14:paraId="0C35F48C" w14:textId="0A6A592B" w:rsidR="00820175" w:rsidRPr="00820175" w:rsidRDefault="0062451B" w:rsidP="00143A6F">
            <w:pPr>
              <w:pStyle w:val="ListParagraph"/>
              <w:ind w:left="0"/>
              <w:jc w:val="right"/>
              <w:cnfStyle w:val="000000100000" w:firstRow="0" w:lastRow="0" w:firstColumn="0" w:lastColumn="0" w:oddVBand="0" w:evenVBand="0" w:oddHBand="1" w:evenHBand="0" w:firstRowFirstColumn="0" w:firstRowLastColumn="0" w:lastRowFirstColumn="0" w:lastRowLastColumn="0"/>
              <w:rPr>
                <w:lang w:val="en-US"/>
              </w:rPr>
            </w:pPr>
            <w:r w:rsidRPr="0062451B">
              <w:rPr>
                <w:lang w:val="en-US"/>
              </w:rPr>
              <w:t>727 132</w:t>
            </w:r>
          </w:p>
        </w:tc>
        <w:tc>
          <w:tcPr>
            <w:tcW w:w="1495" w:type="dxa"/>
            <w:shd w:val="clear" w:color="auto" w:fill="auto"/>
          </w:tcPr>
          <w:p w14:paraId="0CF355EF" w14:textId="77777777" w:rsidR="00820175" w:rsidRDefault="00820175"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p>
        </w:tc>
        <w:tc>
          <w:tcPr>
            <w:tcW w:w="1226" w:type="dxa"/>
            <w:shd w:val="clear" w:color="auto" w:fill="auto"/>
          </w:tcPr>
          <w:p w14:paraId="6E3478B4" w14:textId="77777777" w:rsidR="00820175" w:rsidRDefault="00820175" w:rsidP="00C415A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p>
        </w:tc>
      </w:tr>
      <w:tr w:rsidR="00F63BEB" w14:paraId="08735F58" w14:textId="77777777" w:rsidTr="00AB0B87">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5CCA25A4" w14:textId="22FD8AAD" w:rsidR="00F63BEB" w:rsidRPr="00F63BEB" w:rsidRDefault="00F63BEB" w:rsidP="00C415AF">
            <w:pPr>
              <w:pStyle w:val="ListParagraph"/>
              <w:ind w:left="0"/>
              <w:jc w:val="both"/>
            </w:pPr>
            <w:r w:rsidRPr="00F63BEB">
              <w:t>Criminal case</w:t>
            </w:r>
          </w:p>
        </w:tc>
        <w:tc>
          <w:tcPr>
            <w:tcW w:w="1277" w:type="dxa"/>
            <w:shd w:val="clear" w:color="auto" w:fill="auto"/>
          </w:tcPr>
          <w:p w14:paraId="5212F50B" w14:textId="7D562CF0" w:rsidR="00F63BEB" w:rsidRPr="00F63BEB" w:rsidRDefault="009F5486" w:rsidP="00C323F1">
            <w:pPr>
              <w:pStyle w:val="ListParagraph"/>
              <w:ind w:left="0"/>
              <w:jc w:val="right"/>
              <w:cnfStyle w:val="000000000000" w:firstRow="0" w:lastRow="0" w:firstColumn="0" w:lastColumn="0" w:oddVBand="0" w:evenVBand="0" w:oddHBand="0" w:evenHBand="0" w:firstRowFirstColumn="0" w:firstRowLastColumn="0" w:lastRowFirstColumn="0" w:lastRowLastColumn="0"/>
            </w:pPr>
            <w:r>
              <w:t>951 618</w:t>
            </w:r>
          </w:p>
        </w:tc>
        <w:tc>
          <w:tcPr>
            <w:tcW w:w="1495" w:type="dxa"/>
            <w:shd w:val="clear" w:color="auto" w:fill="auto"/>
          </w:tcPr>
          <w:p w14:paraId="3C4F997D" w14:textId="1171BB68" w:rsidR="00F63BEB"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8" w:type="dxa"/>
            <w:shd w:val="clear" w:color="auto" w:fill="auto"/>
          </w:tcPr>
          <w:p w14:paraId="54C018DD" w14:textId="77777777" w:rsidR="00F63BEB"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c>
          <w:tcPr>
            <w:tcW w:w="1228" w:type="dxa"/>
            <w:shd w:val="clear" w:color="auto" w:fill="auto"/>
          </w:tcPr>
          <w:p w14:paraId="6886C8EC" w14:textId="2248DA68" w:rsidR="00F63BEB" w:rsidRPr="00820175" w:rsidRDefault="0062451B" w:rsidP="00143A6F">
            <w:pPr>
              <w:pStyle w:val="ListParagraph"/>
              <w:ind w:left="0"/>
              <w:jc w:val="right"/>
              <w:cnfStyle w:val="000000000000" w:firstRow="0" w:lastRow="0" w:firstColumn="0" w:lastColumn="0" w:oddVBand="0" w:evenVBand="0" w:oddHBand="0" w:evenHBand="0" w:firstRowFirstColumn="0" w:firstRowLastColumn="0" w:lastRowFirstColumn="0" w:lastRowLastColumn="0"/>
              <w:rPr>
                <w:lang w:val="en-US"/>
              </w:rPr>
            </w:pPr>
            <w:r w:rsidRPr="0062451B">
              <w:rPr>
                <w:lang w:val="en-US"/>
              </w:rPr>
              <w:t>924 21</w:t>
            </w:r>
            <w:r>
              <w:rPr>
                <w:lang w:val="en-US"/>
              </w:rPr>
              <w:t>7</w:t>
            </w:r>
          </w:p>
        </w:tc>
        <w:tc>
          <w:tcPr>
            <w:tcW w:w="1495" w:type="dxa"/>
            <w:shd w:val="clear" w:color="auto" w:fill="auto"/>
          </w:tcPr>
          <w:p w14:paraId="15D7027E" w14:textId="77777777" w:rsidR="00F63BEB"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c>
          <w:tcPr>
            <w:tcW w:w="1226" w:type="dxa"/>
            <w:shd w:val="clear" w:color="auto" w:fill="auto"/>
          </w:tcPr>
          <w:p w14:paraId="74875FCE" w14:textId="77777777" w:rsidR="00F63BEB"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r>
      <w:tr w:rsidR="00F63BEB" w14:paraId="0FB6D92B" w14:textId="77777777" w:rsidTr="00AB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7"/>
          </w:tcPr>
          <w:p w14:paraId="6CDA59E0" w14:textId="709BCF19" w:rsidR="00F63BEB" w:rsidRPr="00F63BEB" w:rsidRDefault="00F63BEB" w:rsidP="00C415AF">
            <w:pPr>
              <w:pStyle w:val="ListParagraph"/>
              <w:ind w:left="0"/>
              <w:jc w:val="both"/>
            </w:pPr>
            <w:r>
              <w:t>Remuneration of lawyers providing legal aid in case of necessity</w:t>
            </w:r>
          </w:p>
        </w:tc>
      </w:tr>
      <w:tr w:rsidR="00F63BEB" w14:paraId="2C7A2577" w14:textId="77777777" w:rsidTr="00AB0B87">
        <w:tc>
          <w:tcPr>
            <w:cnfStyle w:val="001000000000" w:firstRow="0" w:lastRow="0" w:firstColumn="1" w:lastColumn="0" w:oddVBand="0" w:evenVBand="0" w:oddHBand="0" w:evenHBand="0" w:firstRowFirstColumn="0" w:firstRowLastColumn="0" w:lastRowFirstColumn="0" w:lastRowLastColumn="0"/>
            <w:tcW w:w="1798" w:type="dxa"/>
            <w:shd w:val="clear" w:color="auto" w:fill="D9E2F3" w:themeFill="accent5" w:themeFillTint="33"/>
          </w:tcPr>
          <w:p w14:paraId="291604E8" w14:textId="6A94ACAE" w:rsidR="00F63BEB" w:rsidRPr="00F20532" w:rsidRDefault="00F63BEB" w:rsidP="00C415AF">
            <w:pPr>
              <w:pStyle w:val="ListParagraph"/>
              <w:ind w:left="0"/>
              <w:jc w:val="both"/>
              <w:rPr>
                <w:sz w:val="20"/>
                <w:szCs w:val="20"/>
              </w:rPr>
            </w:pPr>
            <w:r w:rsidRPr="00F20532">
              <w:rPr>
                <w:sz w:val="20"/>
                <w:szCs w:val="20"/>
              </w:rPr>
              <w:t xml:space="preserve">Civil, administrative, </w:t>
            </w:r>
            <w:r w:rsidR="00574773">
              <w:rPr>
                <w:sz w:val="20"/>
                <w:szCs w:val="20"/>
              </w:rPr>
              <w:t xml:space="preserve">and </w:t>
            </w:r>
            <w:r w:rsidRPr="00F20532">
              <w:rPr>
                <w:sz w:val="20"/>
                <w:szCs w:val="20"/>
              </w:rPr>
              <w:t>constitutional cases</w:t>
            </w:r>
          </w:p>
        </w:tc>
        <w:tc>
          <w:tcPr>
            <w:tcW w:w="1277" w:type="dxa"/>
            <w:shd w:val="clear" w:color="auto" w:fill="D9E2F3" w:themeFill="accent5" w:themeFillTint="33"/>
          </w:tcPr>
          <w:p w14:paraId="4CC7114C" w14:textId="63D1A05A" w:rsidR="00F63BEB" w:rsidRPr="00E05AFC" w:rsidRDefault="001806E0" w:rsidP="001806E0">
            <w:pPr>
              <w:pStyle w:val="ListParagraph"/>
              <w:ind w:left="0"/>
              <w:jc w:val="right"/>
              <w:cnfStyle w:val="000000000000" w:firstRow="0" w:lastRow="0" w:firstColumn="0" w:lastColumn="0" w:oddVBand="0" w:evenVBand="0" w:oddHBand="0" w:evenHBand="0" w:firstRowFirstColumn="0" w:firstRowLastColumn="0" w:lastRowFirstColumn="0" w:lastRowLastColumn="0"/>
            </w:pPr>
            <w:r>
              <w:t>864 998</w:t>
            </w:r>
          </w:p>
        </w:tc>
        <w:tc>
          <w:tcPr>
            <w:tcW w:w="1495" w:type="dxa"/>
            <w:shd w:val="clear" w:color="auto" w:fill="D9E2F3" w:themeFill="accent5" w:themeFillTint="33"/>
          </w:tcPr>
          <w:p w14:paraId="0BEF625C" w14:textId="6CBB6ED6" w:rsidR="00F63BEB"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8" w:type="dxa"/>
            <w:shd w:val="clear" w:color="auto" w:fill="D9E2F3" w:themeFill="accent5" w:themeFillTint="33"/>
          </w:tcPr>
          <w:p w14:paraId="799D1D6A" w14:textId="11E39F1B" w:rsidR="00F63BEB"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c>
          <w:tcPr>
            <w:tcW w:w="1228" w:type="dxa"/>
            <w:shd w:val="clear" w:color="auto" w:fill="D9E2F3" w:themeFill="accent5" w:themeFillTint="33"/>
          </w:tcPr>
          <w:p w14:paraId="1B7E5BFA" w14:textId="4306D6CE" w:rsidR="00F63BEB" w:rsidRPr="00820175" w:rsidRDefault="00183321" w:rsidP="00143A6F">
            <w:pPr>
              <w:pStyle w:val="ListParagraph"/>
              <w:ind w:left="0" w:right="2"/>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1 193 299</w:t>
            </w:r>
            <w:r w:rsidR="00143A6F">
              <w:rPr>
                <w:lang w:val="en-US"/>
              </w:rPr>
              <w:t xml:space="preserve"> </w:t>
            </w:r>
          </w:p>
        </w:tc>
        <w:tc>
          <w:tcPr>
            <w:tcW w:w="1495" w:type="dxa"/>
            <w:shd w:val="clear" w:color="auto" w:fill="D9E2F3" w:themeFill="accent5" w:themeFillTint="33"/>
          </w:tcPr>
          <w:p w14:paraId="599B5205" w14:textId="30978301" w:rsidR="00F63BEB" w:rsidRPr="001806E0"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rPr>
                <w:color w:val="FF0000"/>
                <w:lang w:val="en-US"/>
              </w:rPr>
            </w:pPr>
          </w:p>
        </w:tc>
        <w:tc>
          <w:tcPr>
            <w:tcW w:w="1226" w:type="dxa"/>
            <w:shd w:val="clear" w:color="auto" w:fill="D9E2F3" w:themeFill="accent5" w:themeFillTint="33"/>
          </w:tcPr>
          <w:p w14:paraId="36A67F9B" w14:textId="25B70545" w:rsidR="00F63BEB" w:rsidRDefault="00F63BEB" w:rsidP="00C415A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r>
      <w:tr w:rsidR="00A817FB" w14:paraId="0EEE40D6" w14:textId="77777777" w:rsidTr="00AB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770DE093" w14:textId="7DDFF5C8" w:rsidR="00645FBE" w:rsidRDefault="00F63BEB" w:rsidP="00C415AF">
            <w:pPr>
              <w:pStyle w:val="ListParagraph"/>
              <w:ind w:left="0"/>
              <w:jc w:val="both"/>
            </w:pPr>
            <w:r>
              <w:t>Criminal cases</w:t>
            </w:r>
          </w:p>
        </w:tc>
        <w:tc>
          <w:tcPr>
            <w:tcW w:w="1277" w:type="dxa"/>
          </w:tcPr>
          <w:p w14:paraId="35524E9E" w14:textId="161EBA14" w:rsidR="00645FBE" w:rsidRDefault="001806E0" w:rsidP="001806E0">
            <w:pPr>
              <w:pStyle w:val="ListParagraph"/>
              <w:ind w:left="0"/>
              <w:jc w:val="right"/>
              <w:cnfStyle w:val="000000100000" w:firstRow="0" w:lastRow="0" w:firstColumn="0" w:lastColumn="0" w:oddVBand="0" w:evenVBand="0" w:oddHBand="1" w:evenHBand="0" w:firstRowFirstColumn="0" w:firstRowLastColumn="0" w:lastRowFirstColumn="0" w:lastRowLastColumn="0"/>
            </w:pPr>
            <w:r>
              <w:t>1 885 600</w:t>
            </w:r>
          </w:p>
        </w:tc>
        <w:tc>
          <w:tcPr>
            <w:tcW w:w="1495" w:type="dxa"/>
          </w:tcPr>
          <w:p w14:paraId="6A6D5B17" w14:textId="7C45A527" w:rsidR="00645FBE" w:rsidRDefault="00645FBE"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8" w:type="dxa"/>
          </w:tcPr>
          <w:p w14:paraId="69B88694" w14:textId="12620C3C" w:rsidR="00645FBE" w:rsidRDefault="00645FBE"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8" w:type="dxa"/>
          </w:tcPr>
          <w:p w14:paraId="2F518146" w14:textId="05975FD2" w:rsidR="00645FBE" w:rsidRDefault="0062451B" w:rsidP="00143A6F">
            <w:pPr>
              <w:pStyle w:val="ListParagraph"/>
              <w:ind w:left="0"/>
              <w:jc w:val="right"/>
              <w:cnfStyle w:val="000000100000" w:firstRow="0" w:lastRow="0" w:firstColumn="0" w:lastColumn="0" w:oddVBand="0" w:evenVBand="0" w:oddHBand="1" w:evenHBand="0" w:firstRowFirstColumn="0" w:firstRowLastColumn="0" w:lastRowFirstColumn="0" w:lastRowLastColumn="0"/>
            </w:pPr>
            <w:r>
              <w:t>2</w:t>
            </w:r>
            <w:r w:rsidR="00AB0B87">
              <w:t xml:space="preserve"> </w:t>
            </w:r>
            <w:r>
              <w:t>059</w:t>
            </w:r>
            <w:r w:rsidR="00AB0B87">
              <w:t xml:space="preserve"> </w:t>
            </w:r>
            <w:r>
              <w:t>770</w:t>
            </w:r>
          </w:p>
        </w:tc>
        <w:tc>
          <w:tcPr>
            <w:tcW w:w="1495" w:type="dxa"/>
          </w:tcPr>
          <w:p w14:paraId="574FF2F1" w14:textId="222EEE75" w:rsidR="00645FBE" w:rsidRDefault="00645FBE"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6" w:type="dxa"/>
          </w:tcPr>
          <w:p w14:paraId="004C6C95" w14:textId="0AFAEC82" w:rsidR="00645FBE" w:rsidRDefault="00645FBE"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A817FB" w14:paraId="4B71011C" w14:textId="77777777" w:rsidTr="00AB0B87">
        <w:tc>
          <w:tcPr>
            <w:cnfStyle w:val="001000000000" w:firstRow="0" w:lastRow="0" w:firstColumn="1" w:lastColumn="0" w:oddVBand="0" w:evenVBand="0" w:oddHBand="0" w:evenHBand="0" w:firstRowFirstColumn="0" w:firstRowLastColumn="0" w:lastRowFirstColumn="0" w:lastRowLastColumn="0"/>
            <w:tcW w:w="9747" w:type="dxa"/>
            <w:gridSpan w:val="7"/>
            <w:shd w:val="clear" w:color="auto" w:fill="auto"/>
          </w:tcPr>
          <w:p w14:paraId="53C86FAC" w14:textId="7CED9472" w:rsidR="00A817FB" w:rsidRDefault="00A817FB" w:rsidP="00C415AF">
            <w:pPr>
              <w:pStyle w:val="ListParagraph"/>
              <w:ind w:left="0"/>
              <w:jc w:val="both"/>
            </w:pPr>
            <w:r>
              <w:t>Other expenses:</w:t>
            </w:r>
          </w:p>
        </w:tc>
      </w:tr>
      <w:tr w:rsidR="00A817FB" w14:paraId="3ECF0679" w14:textId="77777777" w:rsidTr="00AB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024637EE" w14:textId="1DCF4790" w:rsidR="008C262A" w:rsidRDefault="005C2261" w:rsidP="00C415AF">
            <w:pPr>
              <w:pStyle w:val="ListParagraph"/>
              <w:ind w:left="0"/>
              <w:jc w:val="both"/>
            </w:pPr>
            <w:r>
              <w:t>Mediation services</w:t>
            </w:r>
          </w:p>
        </w:tc>
        <w:tc>
          <w:tcPr>
            <w:tcW w:w="1277" w:type="dxa"/>
            <w:shd w:val="clear" w:color="auto" w:fill="auto"/>
          </w:tcPr>
          <w:p w14:paraId="5ADC5377" w14:textId="0D85BAD1" w:rsidR="008C262A" w:rsidRDefault="00143A6F" w:rsidP="00AB0B87">
            <w:pPr>
              <w:pStyle w:val="ListParagraph"/>
              <w:ind w:left="0"/>
              <w:jc w:val="right"/>
              <w:cnfStyle w:val="000000100000" w:firstRow="0" w:lastRow="0" w:firstColumn="0" w:lastColumn="0" w:oddVBand="0" w:evenVBand="0" w:oddHBand="1" w:evenHBand="0" w:firstRowFirstColumn="0" w:firstRowLastColumn="0" w:lastRowFirstColumn="0" w:lastRowLastColumn="0"/>
            </w:pPr>
            <w:r w:rsidRPr="00143A6F">
              <w:t>262 438</w:t>
            </w:r>
          </w:p>
        </w:tc>
        <w:tc>
          <w:tcPr>
            <w:tcW w:w="1495" w:type="dxa"/>
            <w:shd w:val="clear" w:color="auto" w:fill="auto"/>
          </w:tcPr>
          <w:p w14:paraId="517AEA4D" w14:textId="77777777" w:rsidR="008C262A" w:rsidRDefault="008C262A"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8" w:type="dxa"/>
            <w:shd w:val="clear" w:color="auto" w:fill="auto"/>
          </w:tcPr>
          <w:p w14:paraId="737B764B" w14:textId="77777777" w:rsidR="008C262A" w:rsidRDefault="008C262A"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8" w:type="dxa"/>
            <w:shd w:val="clear" w:color="auto" w:fill="auto"/>
          </w:tcPr>
          <w:p w14:paraId="627611C8" w14:textId="537237AB" w:rsidR="008C262A" w:rsidRPr="00635C84" w:rsidRDefault="00D1229C" w:rsidP="00143A6F">
            <w:pPr>
              <w:pStyle w:val="ListParagraph"/>
              <w:ind w:left="0"/>
              <w:jc w:val="right"/>
              <w:cnfStyle w:val="000000100000" w:firstRow="0" w:lastRow="0" w:firstColumn="0" w:lastColumn="0" w:oddVBand="0" w:evenVBand="0" w:oddHBand="1" w:evenHBand="0" w:firstRowFirstColumn="0" w:firstRowLastColumn="0" w:lastRowFirstColumn="0" w:lastRowLastColumn="0"/>
            </w:pPr>
            <w:r>
              <w:t>309</w:t>
            </w:r>
            <w:r w:rsidR="00295898">
              <w:t xml:space="preserve"> </w:t>
            </w:r>
            <w:r>
              <w:t>448</w:t>
            </w:r>
          </w:p>
        </w:tc>
        <w:tc>
          <w:tcPr>
            <w:tcW w:w="1495" w:type="dxa"/>
            <w:shd w:val="clear" w:color="auto" w:fill="auto"/>
          </w:tcPr>
          <w:p w14:paraId="66950D48" w14:textId="4C5AE8AC" w:rsidR="008C262A" w:rsidRDefault="008C262A"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6" w:type="dxa"/>
            <w:shd w:val="clear" w:color="auto" w:fill="auto"/>
          </w:tcPr>
          <w:p w14:paraId="7F2B6502" w14:textId="77777777" w:rsidR="008C262A" w:rsidRDefault="008C262A"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A817FB" w14:paraId="6A0EDDB7" w14:textId="77777777" w:rsidTr="00AB0B87">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5CB3C7EC" w14:textId="142B6F9C" w:rsidR="005C2261" w:rsidRDefault="00F63BEB" w:rsidP="00C415AF">
            <w:pPr>
              <w:pStyle w:val="ListParagraph"/>
              <w:ind w:left="0"/>
              <w:jc w:val="both"/>
            </w:pPr>
            <w:r>
              <w:t>Costs of proceedings</w:t>
            </w:r>
          </w:p>
        </w:tc>
        <w:tc>
          <w:tcPr>
            <w:tcW w:w="1277" w:type="dxa"/>
            <w:shd w:val="clear" w:color="auto" w:fill="auto"/>
          </w:tcPr>
          <w:p w14:paraId="7809893D" w14:textId="2F2D53C3" w:rsidR="005C2261" w:rsidRDefault="00143A6F" w:rsidP="00AB0B87">
            <w:pPr>
              <w:pStyle w:val="ListParagraph"/>
              <w:ind w:left="0"/>
              <w:jc w:val="right"/>
              <w:cnfStyle w:val="000000000000" w:firstRow="0" w:lastRow="0" w:firstColumn="0" w:lastColumn="0" w:oddVBand="0" w:evenVBand="0" w:oddHBand="0" w:evenHBand="0" w:firstRowFirstColumn="0" w:firstRowLastColumn="0" w:lastRowFirstColumn="0" w:lastRowLastColumn="0"/>
            </w:pPr>
            <w:r w:rsidRPr="00143A6F">
              <w:t>103 68</w:t>
            </w:r>
            <w:r>
              <w:t>4</w:t>
            </w:r>
          </w:p>
        </w:tc>
        <w:tc>
          <w:tcPr>
            <w:tcW w:w="1495" w:type="dxa"/>
            <w:shd w:val="clear" w:color="auto" w:fill="auto"/>
          </w:tcPr>
          <w:p w14:paraId="20E2E791" w14:textId="77777777" w:rsidR="005C2261" w:rsidRDefault="005C2261"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8" w:type="dxa"/>
            <w:shd w:val="clear" w:color="auto" w:fill="auto"/>
          </w:tcPr>
          <w:p w14:paraId="3BDA69A3" w14:textId="77777777" w:rsidR="005C2261" w:rsidRDefault="005C2261"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8" w:type="dxa"/>
            <w:shd w:val="clear" w:color="auto" w:fill="auto"/>
          </w:tcPr>
          <w:p w14:paraId="45136263" w14:textId="0F6C93E3" w:rsidR="005C2261" w:rsidRPr="005C2261" w:rsidRDefault="000D5847" w:rsidP="00D1229C">
            <w:pPr>
              <w:pStyle w:val="ListParagraph"/>
              <w:ind w:left="0"/>
              <w:jc w:val="right"/>
              <w:cnfStyle w:val="000000000000" w:firstRow="0" w:lastRow="0" w:firstColumn="0" w:lastColumn="0" w:oddVBand="0" w:evenVBand="0" w:oddHBand="0" w:evenHBand="0" w:firstRowFirstColumn="0" w:firstRowLastColumn="0" w:lastRowFirstColumn="0" w:lastRowLastColumn="0"/>
            </w:pPr>
            <w:r w:rsidRPr="000D5847">
              <w:t>1</w:t>
            </w:r>
            <w:r w:rsidR="00D1229C">
              <w:t>18</w:t>
            </w:r>
            <w:r w:rsidR="00295898">
              <w:t xml:space="preserve"> </w:t>
            </w:r>
            <w:r w:rsidR="00D1229C">
              <w:t>769</w:t>
            </w:r>
          </w:p>
        </w:tc>
        <w:tc>
          <w:tcPr>
            <w:tcW w:w="1495" w:type="dxa"/>
            <w:shd w:val="clear" w:color="auto" w:fill="auto"/>
          </w:tcPr>
          <w:p w14:paraId="13B25772" w14:textId="77777777" w:rsidR="005C2261" w:rsidRDefault="005C2261"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6" w:type="dxa"/>
            <w:shd w:val="clear" w:color="auto" w:fill="auto"/>
          </w:tcPr>
          <w:p w14:paraId="3BD15DF9" w14:textId="77777777" w:rsidR="005C2261" w:rsidRDefault="005C2261"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r>
      <w:tr w:rsidR="00A817FB" w14:paraId="53867B64" w14:textId="77777777" w:rsidTr="00AB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763BFAFD" w14:textId="0374A324" w:rsidR="005C2261" w:rsidRPr="00F20532" w:rsidRDefault="008B7763" w:rsidP="00C415AF">
            <w:pPr>
              <w:pStyle w:val="ListParagraph"/>
              <w:ind w:left="0"/>
              <w:jc w:val="both"/>
              <w:rPr>
                <w:sz w:val="20"/>
                <w:szCs w:val="20"/>
              </w:rPr>
            </w:pPr>
            <w:r w:rsidRPr="00F20532">
              <w:rPr>
                <w:sz w:val="20"/>
                <w:szCs w:val="20"/>
              </w:rPr>
              <w:t xml:space="preserve">Costs of maintenance of lawyers providing legal aid </w:t>
            </w:r>
            <w:r w:rsidR="005241E4">
              <w:rPr>
                <w:sz w:val="20"/>
                <w:szCs w:val="20"/>
              </w:rPr>
              <w:t>constantly</w:t>
            </w:r>
          </w:p>
        </w:tc>
        <w:tc>
          <w:tcPr>
            <w:tcW w:w="1277" w:type="dxa"/>
            <w:shd w:val="clear" w:color="auto" w:fill="auto"/>
          </w:tcPr>
          <w:p w14:paraId="7618B00C" w14:textId="34056156" w:rsidR="005C2261" w:rsidRDefault="00143A6F" w:rsidP="00AB0B87">
            <w:pPr>
              <w:pStyle w:val="ListParagraph"/>
              <w:ind w:left="0"/>
              <w:jc w:val="right"/>
              <w:cnfStyle w:val="000000100000" w:firstRow="0" w:lastRow="0" w:firstColumn="0" w:lastColumn="0" w:oddVBand="0" w:evenVBand="0" w:oddHBand="1" w:evenHBand="0" w:firstRowFirstColumn="0" w:firstRowLastColumn="0" w:lastRowFirstColumn="0" w:lastRowLastColumn="0"/>
            </w:pPr>
            <w:r w:rsidRPr="00143A6F">
              <w:t>198 032</w:t>
            </w:r>
          </w:p>
        </w:tc>
        <w:tc>
          <w:tcPr>
            <w:tcW w:w="1495" w:type="dxa"/>
            <w:shd w:val="clear" w:color="auto" w:fill="auto"/>
          </w:tcPr>
          <w:p w14:paraId="2C26AB2E" w14:textId="77777777" w:rsidR="005C2261" w:rsidRDefault="005C2261"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8" w:type="dxa"/>
            <w:shd w:val="clear" w:color="auto" w:fill="auto"/>
          </w:tcPr>
          <w:p w14:paraId="6281D010" w14:textId="77777777" w:rsidR="005C2261" w:rsidRDefault="005C2261"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8" w:type="dxa"/>
            <w:shd w:val="clear" w:color="auto" w:fill="auto"/>
          </w:tcPr>
          <w:p w14:paraId="2917D32D" w14:textId="64CFB556" w:rsidR="005C2261" w:rsidRPr="005C2261" w:rsidRDefault="000D5847" w:rsidP="00D1229C">
            <w:pPr>
              <w:pStyle w:val="ListParagraph"/>
              <w:ind w:left="0"/>
              <w:jc w:val="right"/>
              <w:cnfStyle w:val="000000100000" w:firstRow="0" w:lastRow="0" w:firstColumn="0" w:lastColumn="0" w:oddVBand="0" w:evenVBand="0" w:oddHBand="1" w:evenHBand="0" w:firstRowFirstColumn="0" w:firstRowLastColumn="0" w:lastRowFirstColumn="0" w:lastRowLastColumn="0"/>
            </w:pPr>
            <w:r w:rsidRPr="000D5847">
              <w:t>1</w:t>
            </w:r>
            <w:r w:rsidR="00D1229C">
              <w:t>52</w:t>
            </w:r>
            <w:r w:rsidR="00295898">
              <w:t xml:space="preserve"> </w:t>
            </w:r>
            <w:r w:rsidR="00D1229C">
              <w:t>953</w:t>
            </w:r>
          </w:p>
        </w:tc>
        <w:tc>
          <w:tcPr>
            <w:tcW w:w="1495" w:type="dxa"/>
            <w:shd w:val="clear" w:color="auto" w:fill="auto"/>
          </w:tcPr>
          <w:p w14:paraId="120D2544" w14:textId="77777777" w:rsidR="005C2261" w:rsidRDefault="005C2261"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c>
          <w:tcPr>
            <w:tcW w:w="1226" w:type="dxa"/>
            <w:shd w:val="clear" w:color="auto" w:fill="auto"/>
          </w:tcPr>
          <w:p w14:paraId="1D5B52DC" w14:textId="77777777" w:rsidR="005C2261" w:rsidRDefault="005C2261" w:rsidP="00C415A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A817FB" w14:paraId="61A22981" w14:textId="77777777" w:rsidTr="00AB0B87">
        <w:tc>
          <w:tcPr>
            <w:cnfStyle w:val="001000000000" w:firstRow="0" w:lastRow="0" w:firstColumn="1" w:lastColumn="0" w:oddVBand="0" w:evenVBand="0" w:oddHBand="0" w:evenHBand="0" w:firstRowFirstColumn="0" w:firstRowLastColumn="0" w:lastRowFirstColumn="0" w:lastRowLastColumn="0"/>
            <w:tcW w:w="1798" w:type="dxa"/>
            <w:shd w:val="clear" w:color="auto" w:fill="auto"/>
          </w:tcPr>
          <w:p w14:paraId="2DB838FC" w14:textId="6F794DB2" w:rsidR="00584CAC" w:rsidRDefault="00584CAC" w:rsidP="00C415AF">
            <w:pPr>
              <w:pStyle w:val="ListParagraph"/>
              <w:ind w:left="0"/>
              <w:jc w:val="both"/>
            </w:pPr>
            <w:r>
              <w:t>Administration costs (SGLAS)</w:t>
            </w:r>
          </w:p>
        </w:tc>
        <w:tc>
          <w:tcPr>
            <w:tcW w:w="1277" w:type="dxa"/>
            <w:shd w:val="clear" w:color="auto" w:fill="auto"/>
          </w:tcPr>
          <w:p w14:paraId="0F6EF2C4" w14:textId="2463BAC4" w:rsidR="00584CAC" w:rsidRDefault="001806E0" w:rsidP="001806E0">
            <w:pPr>
              <w:pStyle w:val="ListParagraph"/>
              <w:ind w:left="0"/>
              <w:jc w:val="right"/>
              <w:cnfStyle w:val="000000000000" w:firstRow="0" w:lastRow="0" w:firstColumn="0" w:lastColumn="0" w:oddVBand="0" w:evenVBand="0" w:oddHBand="0" w:evenHBand="0" w:firstRowFirstColumn="0" w:firstRowLastColumn="0" w:lastRowFirstColumn="0" w:lastRowLastColumn="0"/>
            </w:pPr>
            <w:r>
              <w:t>1 189 035</w:t>
            </w:r>
          </w:p>
        </w:tc>
        <w:tc>
          <w:tcPr>
            <w:tcW w:w="1495" w:type="dxa"/>
            <w:shd w:val="clear" w:color="auto" w:fill="auto"/>
          </w:tcPr>
          <w:p w14:paraId="2E640D2A" w14:textId="77777777" w:rsidR="00584CAC" w:rsidRDefault="00584CAC"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8" w:type="dxa"/>
            <w:shd w:val="clear" w:color="auto" w:fill="auto"/>
          </w:tcPr>
          <w:p w14:paraId="4F59D46E" w14:textId="77777777" w:rsidR="00584CAC" w:rsidRDefault="00584CAC"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8" w:type="dxa"/>
            <w:shd w:val="clear" w:color="auto" w:fill="auto"/>
          </w:tcPr>
          <w:p w14:paraId="44376770" w14:textId="582028F2" w:rsidR="00584CAC" w:rsidRPr="005C2261" w:rsidRDefault="000D5847" w:rsidP="00D1229C">
            <w:pPr>
              <w:pStyle w:val="ListParagraph"/>
              <w:ind w:left="0"/>
              <w:jc w:val="right"/>
              <w:cnfStyle w:val="000000000000" w:firstRow="0" w:lastRow="0" w:firstColumn="0" w:lastColumn="0" w:oddVBand="0" w:evenVBand="0" w:oddHBand="0" w:evenHBand="0" w:firstRowFirstColumn="0" w:firstRowLastColumn="0" w:lastRowFirstColumn="0" w:lastRowLastColumn="0"/>
            </w:pPr>
            <w:r w:rsidRPr="000D5847">
              <w:t>1</w:t>
            </w:r>
            <w:r w:rsidR="00295898">
              <w:t> 286 433</w:t>
            </w:r>
          </w:p>
        </w:tc>
        <w:tc>
          <w:tcPr>
            <w:tcW w:w="1495" w:type="dxa"/>
            <w:shd w:val="clear" w:color="auto" w:fill="auto"/>
          </w:tcPr>
          <w:p w14:paraId="1C88079C" w14:textId="77777777" w:rsidR="00584CAC" w:rsidRDefault="00584CAC"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c>
          <w:tcPr>
            <w:tcW w:w="1226" w:type="dxa"/>
            <w:shd w:val="clear" w:color="auto" w:fill="auto"/>
          </w:tcPr>
          <w:p w14:paraId="2998AFEF" w14:textId="77777777" w:rsidR="00584CAC" w:rsidRDefault="00584CAC" w:rsidP="00C415AF">
            <w:pPr>
              <w:pStyle w:val="ListParagraph"/>
              <w:ind w:left="0"/>
              <w:jc w:val="both"/>
              <w:cnfStyle w:val="000000000000" w:firstRow="0" w:lastRow="0" w:firstColumn="0" w:lastColumn="0" w:oddVBand="0" w:evenVBand="0" w:oddHBand="0" w:evenHBand="0" w:firstRowFirstColumn="0" w:firstRowLastColumn="0" w:lastRowFirstColumn="0" w:lastRowLastColumn="0"/>
            </w:pPr>
          </w:p>
        </w:tc>
      </w:tr>
    </w:tbl>
    <w:p w14:paraId="7F3631FA" w14:textId="77777777" w:rsidR="008C149D" w:rsidRDefault="008C149D" w:rsidP="007017B2">
      <w:pPr>
        <w:pStyle w:val="ListParagraph"/>
        <w:jc w:val="both"/>
      </w:pPr>
    </w:p>
    <w:p w14:paraId="3C45E53C" w14:textId="4FD530D5" w:rsidR="00315BEC" w:rsidRPr="007017B2" w:rsidRDefault="007017B2" w:rsidP="007017B2">
      <w:pPr>
        <w:jc w:val="both"/>
        <w:rPr>
          <w:lang w:val="lt-LT"/>
        </w:rPr>
      </w:pPr>
      <w:r w:rsidRPr="007017B2">
        <w:t xml:space="preserve">The legal aid budget is planned for one year. The prognosis is made </w:t>
      </w:r>
      <w:r w:rsidR="005241E4">
        <w:t>based on</w:t>
      </w:r>
      <w:r w:rsidRPr="007017B2">
        <w:t xml:space="preserve"> the results of the previous year. The budget for legal aid is capped. In very exceptional cases, at the end of the year</w:t>
      </w:r>
      <w:r w:rsidR="00574773">
        <w:t xml:space="preserve">, </w:t>
      </w:r>
      <w:r w:rsidRPr="007017B2">
        <w:t xml:space="preserve">the coverage of the debt can be made just from the savings of the budget in other fields. However, if the debts remain at the end of the year, an additional budget is provided for the following year to cover </w:t>
      </w:r>
      <w:r w:rsidR="00574773">
        <w:t>the debt.</w:t>
      </w:r>
    </w:p>
    <w:p w14:paraId="79CFB001" w14:textId="410D007E" w:rsidR="001C4454" w:rsidRPr="00385A1A" w:rsidRDefault="006A7E78" w:rsidP="000A5D33">
      <w:pPr>
        <w:pStyle w:val="Heading1"/>
        <w:numPr>
          <w:ilvl w:val="0"/>
          <w:numId w:val="16"/>
        </w:numPr>
      </w:pPr>
      <w:r>
        <w:lastRenderedPageBreak/>
        <w:t xml:space="preserve">Scope, </w:t>
      </w:r>
      <w:r w:rsidR="001C4454" w:rsidRPr="00385A1A">
        <w:t>Caseload</w:t>
      </w:r>
      <w:r w:rsidR="00574773">
        <w:t>,</w:t>
      </w:r>
      <w:r>
        <w:t xml:space="preserve"> and Eligibility</w:t>
      </w:r>
    </w:p>
    <w:p w14:paraId="16983600" w14:textId="77777777" w:rsidR="00D12EA9" w:rsidRDefault="00D12EA9" w:rsidP="00C415AF">
      <w:pPr>
        <w:pStyle w:val="ListParagraph"/>
        <w:jc w:val="both"/>
      </w:pPr>
    </w:p>
    <w:p w14:paraId="25C89EC1" w14:textId="3686583D" w:rsidR="00D12EA9" w:rsidRDefault="00D12EA9" w:rsidP="00B957AA">
      <w:pPr>
        <w:jc w:val="both"/>
      </w:pPr>
      <w:r w:rsidRPr="00D12EA9">
        <w:t>Lithuania</w:t>
      </w:r>
      <w:r w:rsidR="00080105">
        <w:t>’s</w:t>
      </w:r>
      <w:r w:rsidRPr="00D12EA9">
        <w:t xml:space="preserve"> legal aid system consists of primary and secondary legal aid.</w:t>
      </w:r>
    </w:p>
    <w:p w14:paraId="54D48C2D" w14:textId="77777777" w:rsidR="00D12EA9" w:rsidRDefault="00D12EA9" w:rsidP="00C415AF">
      <w:pPr>
        <w:pStyle w:val="ListParagraph"/>
        <w:jc w:val="both"/>
      </w:pPr>
    </w:p>
    <w:p w14:paraId="57F69BB8" w14:textId="6F9DF516" w:rsidR="00B51BFE" w:rsidRPr="00B957AA" w:rsidRDefault="00B51BFE" w:rsidP="00B957AA">
      <w:pPr>
        <w:jc w:val="both"/>
        <w:rPr>
          <w:b/>
          <w:bCs/>
        </w:rPr>
      </w:pPr>
      <w:r w:rsidRPr="00B957AA">
        <w:rPr>
          <w:b/>
          <w:bCs/>
        </w:rPr>
        <w:t>Primary legal aid: Scope</w:t>
      </w:r>
    </w:p>
    <w:p w14:paraId="4A4E2F21" w14:textId="2739425B" w:rsidR="00655E38" w:rsidRDefault="00D12EA9" w:rsidP="00655E38">
      <w:pPr>
        <w:jc w:val="both"/>
      </w:pPr>
      <w:r w:rsidRPr="00D12EA9">
        <w:t xml:space="preserve">Primary legal aid means </w:t>
      </w:r>
      <w:r w:rsidR="00414310">
        <w:t xml:space="preserve">the </w:t>
      </w:r>
      <w:r w:rsidRPr="00D12EA9">
        <w:t>provision of legal information</w:t>
      </w:r>
      <w:r w:rsidR="00CE3015">
        <w:t xml:space="preserve"> (general </w:t>
      </w:r>
      <w:r w:rsidR="00CE3015" w:rsidRPr="00D12EA9">
        <w:t xml:space="preserve">information about </w:t>
      </w:r>
      <w:r w:rsidR="00CE3015">
        <w:t>the</w:t>
      </w:r>
      <w:r w:rsidR="00CE3015" w:rsidRPr="00D12EA9">
        <w:t xml:space="preserve"> legal system</w:t>
      </w:r>
      <w:r w:rsidR="00CE3015">
        <w:t xml:space="preserve"> </w:t>
      </w:r>
      <w:r w:rsidR="00CE3015" w:rsidRPr="00D12EA9">
        <w:t xml:space="preserve">and </w:t>
      </w:r>
      <w:r w:rsidR="00CE3015">
        <w:t>laws)</w:t>
      </w:r>
      <w:r w:rsidRPr="00D12EA9">
        <w:t>, legal advice</w:t>
      </w:r>
      <w:r w:rsidR="00CE3015">
        <w:t xml:space="preserve"> (</w:t>
      </w:r>
      <w:r w:rsidR="00CE3015" w:rsidRPr="00D12EA9">
        <w:t>advice on legal issues</w:t>
      </w:r>
      <w:r w:rsidR="00CE3015">
        <w:t>)</w:t>
      </w:r>
      <w:r w:rsidR="00574773">
        <w:t>,</w:t>
      </w:r>
      <w:r w:rsidR="00CE3015">
        <w:t xml:space="preserve"> </w:t>
      </w:r>
      <w:r w:rsidRPr="00D12EA9">
        <w:t xml:space="preserve">drafting of the documents to be submitted to state and municipal institutions, </w:t>
      </w:r>
      <w:r w:rsidR="00CE3015">
        <w:t>and drafting simple court</w:t>
      </w:r>
      <w:r w:rsidR="00CE3015" w:rsidRPr="00D12EA9">
        <w:t xml:space="preserve"> documents</w:t>
      </w:r>
      <w:r w:rsidR="00CE3015">
        <w:t xml:space="preserve">, such as </w:t>
      </w:r>
      <w:r w:rsidR="00CE3015" w:rsidRPr="00655E38">
        <w:t>applications for divorce by mutual consent of both spouses</w:t>
      </w:r>
      <w:r w:rsidR="00CE3015">
        <w:t>;</w:t>
      </w:r>
      <w:r w:rsidR="00CE3015" w:rsidRPr="00655E38">
        <w:t xml:space="preserve"> agreements on the legal consequences of divorce</w:t>
      </w:r>
      <w:r w:rsidR="00CE3015">
        <w:t>;</w:t>
      </w:r>
      <w:r w:rsidR="00CE3015" w:rsidRPr="00655E38">
        <w:t xml:space="preserve"> </w:t>
      </w:r>
      <w:r w:rsidR="00CE3015">
        <w:t xml:space="preserve">requests for </w:t>
      </w:r>
      <w:r w:rsidR="00CE3015" w:rsidRPr="00655E38">
        <w:t>a court order</w:t>
      </w:r>
      <w:r w:rsidR="00CE3015">
        <w:t>;</w:t>
      </w:r>
      <w:r w:rsidR="00CE3015" w:rsidRPr="00655E38">
        <w:t xml:space="preserve"> objections to a creditor's </w:t>
      </w:r>
      <w:r w:rsidR="00CE3015">
        <w:t>claim;</w:t>
      </w:r>
      <w:r w:rsidR="00CE3015" w:rsidRPr="00655E38">
        <w:t xml:space="preserve"> </w:t>
      </w:r>
      <w:r w:rsidR="00CE3015">
        <w:t>requests</w:t>
      </w:r>
      <w:r w:rsidR="00CE3015" w:rsidRPr="00655E38">
        <w:t xml:space="preserve"> for a court permit to sell or mortgage real estate</w:t>
      </w:r>
      <w:r w:rsidR="00CE3015">
        <w:t xml:space="preserve">; </w:t>
      </w:r>
      <w:r w:rsidR="00CE3015" w:rsidRPr="00655E38">
        <w:t xml:space="preserve"> </w:t>
      </w:r>
      <w:r w:rsidR="00CE3015">
        <w:t>requests</w:t>
      </w:r>
      <w:r w:rsidR="00CE3015" w:rsidRPr="00655E38">
        <w:t xml:space="preserve"> for judicial authorization to accept an inheritance</w:t>
      </w:r>
      <w:r w:rsidR="00CE3015">
        <w:t xml:space="preserve"> or </w:t>
      </w:r>
      <w:r w:rsidR="00CE3015" w:rsidRPr="00655E38">
        <w:t>to enter into transactions involving the assets of a person w</w:t>
      </w:r>
      <w:r w:rsidR="00CE3015">
        <w:t xml:space="preserve">ith mental disabilities. </w:t>
      </w:r>
      <w:r w:rsidRPr="00D12EA9">
        <w:t>Th</w:t>
      </w:r>
      <w:r w:rsidR="00CE3015">
        <w:t>e</w:t>
      </w:r>
      <w:r w:rsidRPr="00D12EA9">
        <w:t xml:space="preserve"> legal aid also covers advice on the out-of-court settlement of a dispute, actions for the amicable settlement of a dispute</w:t>
      </w:r>
      <w:r w:rsidR="00574773">
        <w:t>,</w:t>
      </w:r>
      <w:r w:rsidRPr="00D12EA9">
        <w:t xml:space="preserve"> and drafting of a settlement agreement.</w:t>
      </w:r>
      <w:r w:rsidR="00FB2E65">
        <w:rPr>
          <w:rStyle w:val="FootnoteReference"/>
        </w:rPr>
        <w:footnoteReference w:id="17"/>
      </w:r>
      <w:r w:rsidRPr="00D12EA9">
        <w:t xml:space="preserve">  </w:t>
      </w:r>
    </w:p>
    <w:p w14:paraId="387AE053" w14:textId="52ACFD37" w:rsidR="00D12EA9" w:rsidRDefault="00D12EA9" w:rsidP="00655E38">
      <w:pPr>
        <w:jc w:val="both"/>
      </w:pPr>
      <w:r w:rsidRPr="00D12EA9">
        <w:t>The State guarantees and covers 100 percent of the costs of primary legal aid in all type</w:t>
      </w:r>
      <w:r w:rsidR="007609F2">
        <w:t>s</w:t>
      </w:r>
      <w:r w:rsidRPr="00D12EA9">
        <w:t xml:space="preserve"> of cases.</w:t>
      </w:r>
      <w:r w:rsidR="00E96FB5">
        <w:rPr>
          <w:rStyle w:val="FootnoteReference"/>
        </w:rPr>
        <w:footnoteReference w:id="18"/>
      </w:r>
      <w:r w:rsidRPr="00D12EA9">
        <w:t xml:space="preserve"> The duration of </w:t>
      </w:r>
      <w:r w:rsidR="00CA3212">
        <w:t xml:space="preserve">the </w:t>
      </w:r>
      <w:r w:rsidRPr="00D12EA9">
        <w:t xml:space="preserve">provision of </w:t>
      </w:r>
      <w:r>
        <w:t xml:space="preserve">primary </w:t>
      </w:r>
      <w:r w:rsidRPr="00D12EA9">
        <w:t xml:space="preserve">legal aid </w:t>
      </w:r>
      <w:r>
        <w:t>is</w:t>
      </w:r>
      <w:r w:rsidRPr="00D12EA9">
        <w:t xml:space="preserve"> one hour. </w:t>
      </w:r>
      <w:r w:rsidR="007609F2">
        <w:t xml:space="preserve">The duration </w:t>
      </w:r>
      <w:r w:rsidRPr="00D12EA9">
        <w:t>may be extended by a decision of the authority of the municipality.</w:t>
      </w:r>
      <w:r w:rsidR="00E96FB5">
        <w:rPr>
          <w:rStyle w:val="FootnoteReference"/>
        </w:rPr>
        <w:footnoteReference w:id="19"/>
      </w:r>
    </w:p>
    <w:p w14:paraId="5E22FF1D" w14:textId="77777777" w:rsidR="00D12EA9" w:rsidRDefault="00D12EA9" w:rsidP="00C415AF">
      <w:pPr>
        <w:pStyle w:val="ListParagraph"/>
        <w:jc w:val="both"/>
      </w:pPr>
    </w:p>
    <w:p w14:paraId="6373F3D8" w14:textId="4AF11917" w:rsidR="00B51BFE" w:rsidRPr="00B957AA" w:rsidRDefault="00B51BFE" w:rsidP="00B957AA">
      <w:pPr>
        <w:jc w:val="both"/>
        <w:rPr>
          <w:b/>
          <w:bCs/>
        </w:rPr>
      </w:pPr>
      <w:r w:rsidRPr="00B957AA">
        <w:rPr>
          <w:b/>
          <w:bCs/>
        </w:rPr>
        <w:t xml:space="preserve">Primary legal aid: </w:t>
      </w:r>
      <w:r w:rsidR="00694BAD" w:rsidRPr="00B957AA">
        <w:rPr>
          <w:b/>
          <w:bCs/>
        </w:rPr>
        <w:t>E</w:t>
      </w:r>
      <w:r w:rsidRPr="00B957AA">
        <w:rPr>
          <w:b/>
          <w:bCs/>
        </w:rPr>
        <w:t>ligibility</w:t>
      </w:r>
    </w:p>
    <w:p w14:paraId="5E6E25EC" w14:textId="63FCCA51" w:rsidR="00B957AA" w:rsidRPr="00626E37" w:rsidRDefault="00B957AA" w:rsidP="007B1754">
      <w:pPr>
        <w:ind w:firstLine="426"/>
        <w:jc w:val="both"/>
      </w:pPr>
      <w:r w:rsidRPr="00626E37">
        <w:t>Primary legal aid is granted to all citizens</w:t>
      </w:r>
      <w:r w:rsidR="00D81478">
        <w:t xml:space="preserve"> </w:t>
      </w:r>
      <w:r w:rsidRPr="00626E37">
        <w:t>of Lithuania</w:t>
      </w:r>
      <w:r w:rsidR="00D81478">
        <w:t xml:space="preserve"> and </w:t>
      </w:r>
      <w:r w:rsidRPr="00626E37">
        <w:t xml:space="preserve">other EU Member States, to other persons lawfully residing in Lithuania and other EU Member States, </w:t>
      </w:r>
      <w:r w:rsidR="00D81478">
        <w:t xml:space="preserve">and </w:t>
      </w:r>
      <w:r w:rsidRPr="00626E37">
        <w:t>to</w:t>
      </w:r>
      <w:r w:rsidR="00D81478">
        <w:t xml:space="preserve"> </w:t>
      </w:r>
      <w:r w:rsidRPr="00626E37">
        <w:t xml:space="preserve">persons specified in international treaties irrespective </w:t>
      </w:r>
      <w:r w:rsidR="00D81478">
        <w:t>of the</w:t>
      </w:r>
      <w:r w:rsidRPr="00626E37">
        <w:t xml:space="preserve"> income </w:t>
      </w:r>
      <w:r w:rsidR="00D81478">
        <w:t xml:space="preserve">they have and </w:t>
      </w:r>
      <w:r w:rsidRPr="00626E37">
        <w:t xml:space="preserve">property </w:t>
      </w:r>
      <w:r w:rsidR="00D81478">
        <w:t xml:space="preserve">they </w:t>
      </w:r>
      <w:r w:rsidRPr="00626E37">
        <w:t>own</w:t>
      </w:r>
      <w:r w:rsidR="007B1754">
        <w:t>.</w:t>
      </w:r>
      <w:r w:rsidR="007B1754" w:rsidRPr="007B1754">
        <w:t xml:space="preserve"> </w:t>
      </w:r>
      <w:r w:rsidR="007B1754" w:rsidRPr="00626E37">
        <w:t>Primary legal aid is not provided to legal entities</w:t>
      </w:r>
      <w:r w:rsidR="00D81478">
        <w:t>.</w:t>
      </w:r>
      <w:r w:rsidR="007B1754">
        <w:rPr>
          <w:rStyle w:val="FootnoteReference"/>
        </w:rPr>
        <w:footnoteReference w:id="20"/>
      </w:r>
    </w:p>
    <w:p w14:paraId="36EA2690" w14:textId="32B2DF42" w:rsidR="00B957AA" w:rsidRPr="007B1754" w:rsidRDefault="002A2022" w:rsidP="00B957AA">
      <w:pPr>
        <w:ind w:firstLine="360"/>
        <w:jc w:val="both"/>
        <w:rPr>
          <w:iCs/>
        </w:rPr>
      </w:pPr>
      <w:r>
        <w:t xml:space="preserve">Although the </w:t>
      </w:r>
      <w:r w:rsidR="00B957AA" w:rsidRPr="00626E37">
        <w:t xml:space="preserve">means test </w:t>
      </w:r>
      <w:r w:rsidR="005241E4">
        <w:t>does not apply</w:t>
      </w:r>
      <w:r w:rsidR="00B957AA" w:rsidRPr="00626E37">
        <w:t xml:space="preserve"> to primary legal aid provision the requirements foreseen in the merit test have to be fulfilled. The Law on State-guaranteed legal aid defines that primary legal aid is not provided when</w:t>
      </w:r>
      <w:r w:rsidR="00B957AA" w:rsidRPr="007B1754">
        <w:rPr>
          <w:iCs/>
        </w:rPr>
        <w:t>:</w:t>
      </w:r>
      <w:r w:rsidR="007B1754">
        <w:rPr>
          <w:rStyle w:val="FootnoteReference"/>
          <w:iCs/>
        </w:rPr>
        <w:footnoteReference w:id="21"/>
      </w:r>
    </w:p>
    <w:p w14:paraId="4FD63AE1" w14:textId="65CA22A2" w:rsidR="00B957AA" w:rsidRPr="00626E37" w:rsidRDefault="002A2022" w:rsidP="00B957AA">
      <w:pPr>
        <w:widowControl w:val="0"/>
        <w:numPr>
          <w:ilvl w:val="0"/>
          <w:numId w:val="7"/>
        </w:numPr>
        <w:spacing w:after="200" w:line="276" w:lineRule="auto"/>
        <w:contextualSpacing/>
        <w:jc w:val="both"/>
      </w:pPr>
      <w:r>
        <w:t>c</w:t>
      </w:r>
      <w:r w:rsidR="00B957AA" w:rsidRPr="00626E37">
        <w:t>laim</w:t>
      </w:r>
      <w:r>
        <w:t xml:space="preserve"> is</w:t>
      </w:r>
      <w:r w:rsidR="00B957AA" w:rsidRPr="00626E37">
        <w:t xml:space="preserve"> manifestly unfounded; </w:t>
      </w:r>
    </w:p>
    <w:p w14:paraId="689D9809" w14:textId="77777777" w:rsidR="00B957AA" w:rsidRPr="00626E37" w:rsidRDefault="00B957AA" w:rsidP="00B957AA">
      <w:pPr>
        <w:widowControl w:val="0"/>
        <w:numPr>
          <w:ilvl w:val="0"/>
          <w:numId w:val="7"/>
        </w:numPr>
        <w:spacing w:after="200" w:line="276" w:lineRule="auto"/>
        <w:contextualSpacing/>
        <w:jc w:val="both"/>
      </w:pPr>
      <w:r w:rsidRPr="00626E37">
        <w:t>primary legal aid has already been provided on the same issue;</w:t>
      </w:r>
    </w:p>
    <w:p w14:paraId="00DE8A5C" w14:textId="289CAC26" w:rsidR="00B957AA" w:rsidRPr="00626E37" w:rsidRDefault="00B957AA" w:rsidP="00B957AA">
      <w:pPr>
        <w:widowControl w:val="0"/>
        <w:numPr>
          <w:ilvl w:val="0"/>
          <w:numId w:val="7"/>
        </w:numPr>
        <w:spacing w:after="200" w:line="276" w:lineRule="auto"/>
        <w:contextualSpacing/>
        <w:jc w:val="both"/>
      </w:pPr>
      <w:r w:rsidRPr="00626E37">
        <w:t xml:space="preserve">it is obvious that it is possible to obtain a lawyer’s advice without resorting to State-guaranteed legal aid; </w:t>
      </w:r>
    </w:p>
    <w:p w14:paraId="746E8CE9" w14:textId="5D62E664" w:rsidR="00B957AA" w:rsidRPr="00626E37" w:rsidRDefault="00B957AA" w:rsidP="00B957AA">
      <w:pPr>
        <w:widowControl w:val="0"/>
        <w:numPr>
          <w:ilvl w:val="0"/>
          <w:numId w:val="7"/>
        </w:numPr>
        <w:spacing w:after="200" w:line="276" w:lineRule="auto"/>
        <w:contextualSpacing/>
        <w:jc w:val="both"/>
      </w:pPr>
      <w:r w:rsidRPr="00626E37">
        <w:t xml:space="preserve">the applicant requested legal aid for </w:t>
      </w:r>
      <w:r w:rsidR="002A2022">
        <w:t xml:space="preserve">an </w:t>
      </w:r>
      <w:r w:rsidRPr="00626E37">
        <w:t xml:space="preserve">issue </w:t>
      </w:r>
      <w:r w:rsidR="00080105">
        <w:t>un</w:t>
      </w:r>
      <w:r w:rsidRPr="00626E37">
        <w:t xml:space="preserve">related to his own rights and legitimate interests. </w:t>
      </w:r>
    </w:p>
    <w:p w14:paraId="67582A02" w14:textId="3C5079A6" w:rsidR="00694BAD" w:rsidRDefault="00694BAD" w:rsidP="00C415AF">
      <w:pPr>
        <w:pStyle w:val="ListParagraph"/>
        <w:jc w:val="both"/>
        <w:rPr>
          <w:b/>
          <w:bCs/>
        </w:rPr>
      </w:pPr>
    </w:p>
    <w:p w14:paraId="00680EB3" w14:textId="733D0E86" w:rsidR="0068422C" w:rsidRPr="00646241" w:rsidRDefault="0068422C" w:rsidP="0068422C">
      <w:pPr>
        <w:jc w:val="both"/>
      </w:pPr>
      <w:r w:rsidRPr="00646241">
        <w:rPr>
          <w:b/>
        </w:rPr>
        <w:t>Secondary legal aid</w:t>
      </w:r>
      <w:r w:rsidR="0069578C">
        <w:rPr>
          <w:b/>
        </w:rPr>
        <w:t xml:space="preserve">: </w:t>
      </w:r>
      <w:r w:rsidR="0069578C" w:rsidRPr="00B957AA">
        <w:rPr>
          <w:b/>
          <w:bCs/>
        </w:rPr>
        <w:t>Scope</w:t>
      </w:r>
    </w:p>
    <w:p w14:paraId="7FEE8621" w14:textId="08632B2F" w:rsidR="00765CD6" w:rsidRPr="00626E37" w:rsidRDefault="002A2022" w:rsidP="0068422C">
      <w:pPr>
        <w:jc w:val="both"/>
      </w:pPr>
      <w:r>
        <w:t>S</w:t>
      </w:r>
      <w:r w:rsidR="00765CD6">
        <w:t>econdary legal aid is available in all type</w:t>
      </w:r>
      <w:r>
        <w:t>s</w:t>
      </w:r>
      <w:r w:rsidR="00765CD6">
        <w:t xml:space="preserve"> of cases. It includes:</w:t>
      </w:r>
      <w:r w:rsidR="0069578C">
        <w:rPr>
          <w:rStyle w:val="FootnoteReference"/>
        </w:rPr>
        <w:footnoteReference w:id="22"/>
      </w:r>
    </w:p>
    <w:p w14:paraId="3308AA71" w14:textId="77777777" w:rsidR="0068422C" w:rsidRPr="00626E37" w:rsidRDefault="0068422C" w:rsidP="0068422C">
      <w:pPr>
        <w:pStyle w:val="ListParagraph"/>
        <w:numPr>
          <w:ilvl w:val="0"/>
          <w:numId w:val="9"/>
        </w:numPr>
        <w:spacing w:after="0" w:line="276" w:lineRule="auto"/>
        <w:jc w:val="both"/>
      </w:pPr>
      <w:r w:rsidRPr="00626E37">
        <w:t xml:space="preserve">drafting of procedural documents, </w:t>
      </w:r>
    </w:p>
    <w:p w14:paraId="6E7F7A7B" w14:textId="0B83FD62" w:rsidR="0068422C" w:rsidRPr="00626E37" w:rsidRDefault="0068422C" w:rsidP="0068422C">
      <w:pPr>
        <w:widowControl w:val="0"/>
        <w:numPr>
          <w:ilvl w:val="0"/>
          <w:numId w:val="9"/>
        </w:numPr>
        <w:spacing w:after="0" w:line="276" w:lineRule="auto"/>
        <w:contextualSpacing/>
        <w:jc w:val="both"/>
      </w:pPr>
      <w:proofErr w:type="spellStart"/>
      <w:r w:rsidRPr="00626E37">
        <w:lastRenderedPageBreak/>
        <w:t>defen</w:t>
      </w:r>
      <w:r w:rsidR="002A2022">
        <w:t>s</w:t>
      </w:r>
      <w:r w:rsidRPr="00626E37">
        <w:t>e</w:t>
      </w:r>
      <w:proofErr w:type="spellEnd"/>
      <w:r w:rsidRPr="00626E37">
        <w:t xml:space="preserve"> and representation in court (including the process of enforcement), </w:t>
      </w:r>
    </w:p>
    <w:p w14:paraId="2B8AA936" w14:textId="568CECFA" w:rsidR="0068422C" w:rsidRPr="00626E37" w:rsidRDefault="0068422C" w:rsidP="0068422C">
      <w:pPr>
        <w:widowControl w:val="0"/>
        <w:numPr>
          <w:ilvl w:val="0"/>
          <w:numId w:val="9"/>
        </w:numPr>
        <w:spacing w:after="200" w:line="276" w:lineRule="auto"/>
        <w:contextualSpacing/>
        <w:jc w:val="both"/>
      </w:pPr>
      <w:r w:rsidRPr="00626E37">
        <w:t xml:space="preserve">representation in the preliminary extrajudicial consideration of a dispute, where such a procedure has been laid down by laws or by a court decision, </w:t>
      </w:r>
    </w:p>
    <w:p w14:paraId="018A3F15" w14:textId="711AE569" w:rsidR="0068422C" w:rsidRPr="00626E37" w:rsidRDefault="0068422C" w:rsidP="0068422C">
      <w:pPr>
        <w:widowControl w:val="0"/>
        <w:numPr>
          <w:ilvl w:val="0"/>
          <w:numId w:val="9"/>
        </w:numPr>
        <w:spacing w:after="200" w:line="276" w:lineRule="auto"/>
        <w:contextualSpacing/>
        <w:jc w:val="both"/>
      </w:pPr>
      <w:r w:rsidRPr="00626E37">
        <w:t>coverage of litigation costs (</w:t>
      </w:r>
      <w:r w:rsidRPr="0068422C">
        <w:t xml:space="preserve">under </w:t>
      </w:r>
      <w:r w:rsidR="002A2022">
        <w:t xml:space="preserve">the </w:t>
      </w:r>
      <w:r w:rsidRPr="0068422C">
        <w:t xml:space="preserve">request of </w:t>
      </w:r>
      <w:r w:rsidR="002A2022">
        <w:t xml:space="preserve">a </w:t>
      </w:r>
      <w:r w:rsidRPr="0068422C">
        <w:t>lawyer</w:t>
      </w:r>
      <w:r>
        <w:t xml:space="preserve"> </w:t>
      </w:r>
      <w:r w:rsidRPr="0068422C">
        <w:t xml:space="preserve">or </w:t>
      </w:r>
      <w:r w:rsidR="002A2022">
        <w:t xml:space="preserve">a </w:t>
      </w:r>
      <w:r w:rsidRPr="0068422C">
        <w:t>court:</w:t>
      </w:r>
      <w:r w:rsidRPr="00626E37">
        <w:t xml:space="preserve"> translation of documents, interpretation, cooping of documents, collection of data from registries, coverage of expenses of expertise, other expenses related to </w:t>
      </w:r>
      <w:r w:rsidR="002A2022">
        <w:t xml:space="preserve">the </w:t>
      </w:r>
      <w:r w:rsidRPr="00626E37">
        <w:t xml:space="preserve">preparation of evidence; </w:t>
      </w:r>
      <w:r w:rsidRPr="0068422C">
        <w:t xml:space="preserve">under </w:t>
      </w:r>
      <w:r w:rsidR="002A2022">
        <w:t xml:space="preserve">the </w:t>
      </w:r>
      <w:r w:rsidRPr="0068422C">
        <w:t xml:space="preserve">request of </w:t>
      </w:r>
      <w:r w:rsidR="002A2022">
        <w:t xml:space="preserve">a </w:t>
      </w:r>
      <w:r w:rsidRPr="0068422C">
        <w:t>lawyer</w:t>
      </w:r>
      <w:r w:rsidR="002A2022">
        <w:t>:</w:t>
      </w:r>
      <w:r w:rsidRPr="00626E37">
        <w:t xml:space="preserve"> expenses of lawyer traveling; </w:t>
      </w:r>
      <w:r w:rsidRPr="0068422C">
        <w:t xml:space="preserve">under </w:t>
      </w:r>
      <w:r w:rsidR="002A2022">
        <w:t xml:space="preserve">the </w:t>
      </w:r>
      <w:r w:rsidRPr="0068422C">
        <w:t xml:space="preserve">request of </w:t>
      </w:r>
      <w:r w:rsidR="002A2022">
        <w:t xml:space="preserve">a </w:t>
      </w:r>
      <w:r w:rsidRPr="0068422C">
        <w:t>legal aid beneficiary:</w:t>
      </w:r>
      <w:r w:rsidRPr="00626E37">
        <w:t xml:space="preserve"> expenses of his</w:t>
      </w:r>
      <w:r w:rsidR="002A2022">
        <w:t xml:space="preserve">/her </w:t>
      </w:r>
      <w:r w:rsidRPr="00626E37">
        <w:t xml:space="preserve">traveling to the place of proceeding </w:t>
      </w:r>
      <w:r w:rsidR="002A2022">
        <w:t>when</w:t>
      </w:r>
      <w:r w:rsidRPr="00626E37">
        <w:t xml:space="preserve"> </w:t>
      </w:r>
      <w:r w:rsidR="002A2022" w:rsidRPr="00626E37">
        <w:t xml:space="preserve">participation in the proceeding </w:t>
      </w:r>
      <w:r w:rsidR="002A2022">
        <w:t xml:space="preserve">is </w:t>
      </w:r>
      <w:r w:rsidRPr="00626E37">
        <w:t>mandatory);</w:t>
      </w:r>
    </w:p>
    <w:p w14:paraId="2FA2C087" w14:textId="77777777" w:rsidR="0068422C" w:rsidRPr="00626E37" w:rsidRDefault="0068422C" w:rsidP="0068422C">
      <w:pPr>
        <w:widowControl w:val="0"/>
        <w:numPr>
          <w:ilvl w:val="0"/>
          <w:numId w:val="9"/>
        </w:numPr>
        <w:spacing w:after="200" w:line="276" w:lineRule="auto"/>
        <w:contextualSpacing/>
        <w:jc w:val="both"/>
      </w:pPr>
      <w:r w:rsidRPr="00626E37">
        <w:t>exemption from court fees;</w:t>
      </w:r>
    </w:p>
    <w:p w14:paraId="11C0C1DB" w14:textId="761650E5" w:rsidR="0068422C" w:rsidRPr="00626E37" w:rsidRDefault="0068422C" w:rsidP="0068422C">
      <w:pPr>
        <w:widowControl w:val="0"/>
        <w:numPr>
          <w:ilvl w:val="0"/>
          <w:numId w:val="9"/>
        </w:numPr>
        <w:spacing w:after="200" w:line="276" w:lineRule="auto"/>
        <w:contextualSpacing/>
        <w:jc w:val="both"/>
      </w:pPr>
      <w:r w:rsidRPr="00626E37">
        <w:t xml:space="preserve">coverage of expenses of bailiff </w:t>
      </w:r>
      <w:r w:rsidR="006700EA">
        <w:t>for the</w:t>
      </w:r>
      <w:r w:rsidRPr="00626E37">
        <w:t xml:space="preserve"> start </w:t>
      </w:r>
      <w:r w:rsidR="006700EA">
        <w:t xml:space="preserve">of the </w:t>
      </w:r>
      <w:r w:rsidRPr="00626E37">
        <w:t>execution of the court decision;</w:t>
      </w:r>
    </w:p>
    <w:p w14:paraId="2AD9A020" w14:textId="4BEF84CB" w:rsidR="0068422C" w:rsidRPr="00626E37" w:rsidRDefault="0068422C" w:rsidP="0068422C">
      <w:pPr>
        <w:widowControl w:val="0"/>
        <w:numPr>
          <w:ilvl w:val="0"/>
          <w:numId w:val="9"/>
        </w:numPr>
        <w:spacing w:after="200" w:line="276" w:lineRule="auto"/>
        <w:contextualSpacing/>
        <w:jc w:val="both"/>
      </w:pPr>
      <w:r w:rsidRPr="00626E37">
        <w:t xml:space="preserve">coverage of </w:t>
      </w:r>
      <w:r w:rsidR="006700EA">
        <w:t xml:space="preserve">the </w:t>
      </w:r>
      <w:r w:rsidRPr="00626E37">
        <w:t>cost</w:t>
      </w:r>
      <w:r w:rsidR="006700EA">
        <w:t>s</w:t>
      </w:r>
      <w:r w:rsidRPr="00626E37">
        <w:t xml:space="preserve"> of mediation</w:t>
      </w:r>
      <w:r>
        <w:t>;</w:t>
      </w:r>
    </w:p>
    <w:p w14:paraId="79E0B83C" w14:textId="77777777" w:rsidR="0068422C" w:rsidRPr="00626E37" w:rsidRDefault="0068422C" w:rsidP="0068422C">
      <w:pPr>
        <w:ind w:firstLine="720"/>
        <w:jc w:val="both"/>
        <w:rPr>
          <w:b/>
          <w:bCs/>
        </w:rPr>
      </w:pPr>
    </w:p>
    <w:p w14:paraId="6AC30C85" w14:textId="1A56B7BC" w:rsidR="008B77AB" w:rsidRDefault="00387919" w:rsidP="0068422C">
      <w:pPr>
        <w:ind w:firstLine="360"/>
        <w:jc w:val="both"/>
      </w:pPr>
      <w:r w:rsidRPr="004C4628">
        <w:rPr>
          <w:bCs/>
        </w:rPr>
        <w:t xml:space="preserve">Article </w:t>
      </w:r>
      <w:r w:rsidR="004C4628">
        <w:rPr>
          <w:bCs/>
        </w:rPr>
        <w:t xml:space="preserve">2 (3) </w:t>
      </w:r>
      <w:r>
        <w:rPr>
          <w:bCs/>
        </w:rPr>
        <w:t xml:space="preserve">of </w:t>
      </w:r>
      <w:r w:rsidR="0068422C" w:rsidRPr="00626E37">
        <w:rPr>
          <w:bCs/>
        </w:rPr>
        <w:t xml:space="preserve">the Law on State-guaranteed Legal </w:t>
      </w:r>
      <w:r>
        <w:rPr>
          <w:bCs/>
        </w:rPr>
        <w:t xml:space="preserve">Aid defines </w:t>
      </w:r>
      <w:r w:rsidR="0068422C" w:rsidRPr="00626E37">
        <w:rPr>
          <w:bCs/>
        </w:rPr>
        <w:t xml:space="preserve">that </w:t>
      </w:r>
      <w:r w:rsidR="0068422C" w:rsidRPr="00765CD6">
        <w:rPr>
          <w:i/>
          <w:iCs/>
        </w:rPr>
        <w:t xml:space="preserve">the </w:t>
      </w:r>
      <w:proofErr w:type="spellStart"/>
      <w:r w:rsidR="0068422C" w:rsidRPr="00765CD6">
        <w:rPr>
          <w:i/>
          <w:iCs/>
        </w:rPr>
        <w:t>defen</w:t>
      </w:r>
      <w:r>
        <w:rPr>
          <w:i/>
          <w:iCs/>
        </w:rPr>
        <w:t>s</w:t>
      </w:r>
      <w:r w:rsidR="0068422C" w:rsidRPr="00765CD6">
        <w:rPr>
          <w:i/>
          <w:iCs/>
        </w:rPr>
        <w:t>e</w:t>
      </w:r>
      <w:proofErr w:type="spellEnd"/>
      <w:r w:rsidR="0068422C" w:rsidRPr="00765CD6">
        <w:rPr>
          <w:i/>
          <w:iCs/>
        </w:rPr>
        <w:t xml:space="preserve"> and representation in court</w:t>
      </w:r>
      <w:r w:rsidR="0068422C" w:rsidRPr="00626E37">
        <w:rPr>
          <w:b/>
          <w:bCs/>
        </w:rPr>
        <w:t xml:space="preserve"> </w:t>
      </w:r>
      <w:r w:rsidR="0068422C" w:rsidRPr="00626E37">
        <w:rPr>
          <w:bCs/>
        </w:rPr>
        <w:t>mean</w:t>
      </w:r>
      <w:r w:rsidR="0068422C" w:rsidRPr="00626E37">
        <w:rPr>
          <w:b/>
          <w:bCs/>
        </w:rPr>
        <w:t xml:space="preserve"> </w:t>
      </w:r>
      <w:r w:rsidR="0068422C" w:rsidRPr="00626E37">
        <w:rPr>
          <w:bCs/>
        </w:rPr>
        <w:t xml:space="preserve">defending the rights and interests of a suspect, </w:t>
      </w:r>
      <w:r w:rsidR="0068422C" w:rsidRPr="00626E37">
        <w:t>accused</w:t>
      </w:r>
      <w:r>
        <w:t xml:space="preserve">, or </w:t>
      </w:r>
      <w:r w:rsidRPr="00626E37">
        <w:t>convict</w:t>
      </w:r>
      <w:r>
        <w:t>ed</w:t>
      </w:r>
      <w:r w:rsidRPr="00626E37">
        <w:t xml:space="preserve"> </w:t>
      </w:r>
      <w:r>
        <w:t>in criminal matters</w:t>
      </w:r>
      <w:r w:rsidR="0068422C" w:rsidRPr="00626E37">
        <w:t xml:space="preserve">, or </w:t>
      </w:r>
      <w:r>
        <w:t xml:space="preserve">representation of other person’s rights </w:t>
      </w:r>
      <w:r w:rsidR="0068422C" w:rsidRPr="00626E37">
        <w:t>in criminal, civil (</w:t>
      </w:r>
      <w:r w:rsidR="005241E4">
        <w:t>except</w:t>
      </w:r>
      <w:r w:rsidR="0068422C" w:rsidRPr="00626E37">
        <w:t xml:space="preserve"> arbitration) and administrative matters as well as </w:t>
      </w:r>
      <w:r>
        <w:t xml:space="preserve">representation of rights of the person </w:t>
      </w:r>
      <w:r w:rsidR="008B77AB">
        <w:t>at the</w:t>
      </w:r>
      <w:r w:rsidR="0068422C" w:rsidRPr="00626E37">
        <w:t xml:space="preserve"> international</w:t>
      </w:r>
      <w:r>
        <w:t xml:space="preserve"> </w:t>
      </w:r>
      <w:r w:rsidR="0068422C" w:rsidRPr="00626E37">
        <w:t xml:space="preserve">judicial </w:t>
      </w:r>
      <w:r w:rsidR="008B77AB">
        <w:t xml:space="preserve">bodies </w:t>
      </w:r>
      <w:r w:rsidR="0068422C" w:rsidRPr="00626E37">
        <w:t xml:space="preserve">whose jurisdiction or competence to decide on </w:t>
      </w:r>
      <w:r>
        <w:t xml:space="preserve">the </w:t>
      </w:r>
      <w:r w:rsidR="0068422C" w:rsidRPr="00626E37">
        <w:t xml:space="preserve">violation of </w:t>
      </w:r>
      <w:r w:rsidR="008B77AB">
        <w:t xml:space="preserve">the </w:t>
      </w:r>
      <w:r w:rsidR="0068422C" w:rsidRPr="00626E37">
        <w:t>rights of the persons has been recogni</w:t>
      </w:r>
      <w:r w:rsidR="008B77AB">
        <w:t>z</w:t>
      </w:r>
      <w:r w:rsidR="0068422C" w:rsidRPr="00626E37">
        <w:t>ed by the Republic of Lithuania</w:t>
      </w:r>
      <w:r w:rsidR="008B77AB">
        <w:t xml:space="preserve">. </w:t>
      </w:r>
    </w:p>
    <w:p w14:paraId="5220913A" w14:textId="0D60C1E4" w:rsidR="008B77AB" w:rsidRDefault="008B77AB" w:rsidP="0068422C">
      <w:pPr>
        <w:ind w:firstLine="360"/>
        <w:jc w:val="both"/>
      </w:pPr>
      <w:r>
        <w:t>When</w:t>
      </w:r>
      <w:r w:rsidRPr="00626E37">
        <w:t xml:space="preserve"> </w:t>
      </w:r>
      <w:r>
        <w:t>t</w:t>
      </w:r>
      <w:r w:rsidRPr="00626E37">
        <w:t xml:space="preserve">he </w:t>
      </w:r>
      <w:r>
        <w:t xml:space="preserve">legal aid beneficiary </w:t>
      </w:r>
      <w:r w:rsidRPr="00626E37">
        <w:t>loses the case</w:t>
      </w:r>
      <w:r>
        <w:t>, he does</w:t>
      </w:r>
      <w:r w:rsidR="0068422C" w:rsidRPr="00626E37">
        <w:t xml:space="preserve"> not require </w:t>
      </w:r>
      <w:r>
        <w:t>to pay</w:t>
      </w:r>
      <w:r w:rsidR="0068422C" w:rsidRPr="00626E37">
        <w:t xml:space="preserve"> </w:t>
      </w:r>
      <w:r>
        <w:t xml:space="preserve">the </w:t>
      </w:r>
      <w:r w:rsidR="0068422C" w:rsidRPr="00626E37">
        <w:t>money back to the State for the legal aid provided. However</w:t>
      </w:r>
      <w:r w:rsidR="0068422C">
        <w:t xml:space="preserve">, </w:t>
      </w:r>
      <w:r w:rsidR="0068422C" w:rsidRPr="00626E37">
        <w:t xml:space="preserve">the State does not cover the costs </w:t>
      </w:r>
      <w:r w:rsidR="008A6A0E">
        <w:t xml:space="preserve">of legal aid beneficiary </w:t>
      </w:r>
      <w:r w:rsidR="0068422C" w:rsidRPr="00626E37">
        <w:t>wh</w:t>
      </w:r>
      <w:r w:rsidR="008A6A0E">
        <w:t>en</w:t>
      </w:r>
      <w:r w:rsidR="0068422C" w:rsidRPr="00626E37">
        <w:t xml:space="preserve"> </w:t>
      </w:r>
      <w:r w:rsidR="008A6A0E">
        <w:t xml:space="preserve">the court orders him to pay the costs of the opposite party in the proceeding when he loses the case, </w:t>
      </w:r>
      <w:r w:rsidR="0068422C" w:rsidRPr="00626E37">
        <w:t xml:space="preserve">as well as </w:t>
      </w:r>
      <w:r w:rsidR="008A6A0E">
        <w:t>when he is a debtor who requires to cover</w:t>
      </w:r>
      <w:r w:rsidR="0068422C" w:rsidRPr="00626E37">
        <w:t xml:space="preserve"> </w:t>
      </w:r>
      <w:r w:rsidR="008A6A0E">
        <w:t xml:space="preserve">the </w:t>
      </w:r>
      <w:r w:rsidR="0068422C" w:rsidRPr="00626E37">
        <w:t xml:space="preserve">costs </w:t>
      </w:r>
      <w:r w:rsidR="008A6A0E">
        <w:t>of the</w:t>
      </w:r>
      <w:r w:rsidR="0068422C" w:rsidRPr="00626E37">
        <w:t xml:space="preserve"> execution process. </w:t>
      </w:r>
      <w:r w:rsidR="008D316E">
        <w:rPr>
          <w:rStyle w:val="FootnoteReference"/>
        </w:rPr>
        <w:footnoteReference w:id="23"/>
      </w:r>
    </w:p>
    <w:p w14:paraId="20CF3313" w14:textId="7758E2E8" w:rsidR="0068422C" w:rsidRPr="00626E37" w:rsidRDefault="0068422C" w:rsidP="0068422C">
      <w:pPr>
        <w:ind w:firstLine="360"/>
        <w:jc w:val="both"/>
      </w:pPr>
      <w:r w:rsidRPr="00626E37">
        <w:t xml:space="preserve">Here are exceptions </w:t>
      </w:r>
      <w:r w:rsidR="008A27A7">
        <w:t>to</w:t>
      </w:r>
      <w:r w:rsidRPr="00626E37">
        <w:t xml:space="preserve"> this rule. </w:t>
      </w:r>
      <w:r w:rsidR="00934448">
        <w:t>W</w:t>
      </w:r>
      <w:r w:rsidRPr="00626E37">
        <w:t xml:space="preserve">hen both parties in the civil proceeding </w:t>
      </w:r>
      <w:r w:rsidR="004B1B61">
        <w:t>are legal aid beneficiaries the State does not require any of them to pay the money back to the State.</w:t>
      </w:r>
      <w:r w:rsidR="008D316E">
        <w:rPr>
          <w:rStyle w:val="FootnoteReference"/>
        </w:rPr>
        <w:footnoteReference w:id="24"/>
      </w:r>
      <w:r w:rsidR="004B1B61">
        <w:t xml:space="preserve"> For legal aid provided to </w:t>
      </w:r>
      <w:r w:rsidR="004B1B61" w:rsidRPr="00626E37">
        <w:t xml:space="preserve">the victim of </w:t>
      </w:r>
      <w:r w:rsidR="004B1B61">
        <w:t xml:space="preserve">a </w:t>
      </w:r>
      <w:r w:rsidR="004B1B61" w:rsidRPr="00626E37">
        <w:t xml:space="preserve">crime </w:t>
      </w:r>
      <w:r w:rsidR="004B1B61">
        <w:t>a</w:t>
      </w:r>
      <w:r w:rsidRPr="00626E37">
        <w:t xml:space="preserve"> sentenced person </w:t>
      </w:r>
      <w:r w:rsidR="00597E89">
        <w:t xml:space="preserve">may be obliged </w:t>
      </w:r>
      <w:r w:rsidRPr="00626E37">
        <w:t xml:space="preserve">to pay </w:t>
      </w:r>
      <w:r w:rsidR="004B1B61">
        <w:t xml:space="preserve">the State even in such situations when he has been defended by the </w:t>
      </w:r>
      <w:r w:rsidR="002849B7">
        <w:t>lawyer nominated by the State (when</w:t>
      </w:r>
      <w:r w:rsidRPr="00626E37">
        <w:t xml:space="preserve"> the presence of </w:t>
      </w:r>
      <w:r>
        <w:t xml:space="preserve">the </w:t>
      </w:r>
      <w:r w:rsidRPr="00626E37">
        <w:t>lawyer in the proceeding is mandatory</w:t>
      </w:r>
      <w:r w:rsidR="002849B7">
        <w:t>)</w:t>
      </w:r>
      <w:r w:rsidRPr="00626E37">
        <w:t>.</w:t>
      </w:r>
      <w:r w:rsidR="00597E89">
        <w:rPr>
          <w:rStyle w:val="FootnoteReference"/>
        </w:rPr>
        <w:footnoteReference w:id="25"/>
      </w:r>
      <w:r w:rsidRPr="00626E37">
        <w:t xml:space="preserve"> </w:t>
      </w:r>
    </w:p>
    <w:p w14:paraId="61C11FCA" w14:textId="77777777" w:rsidR="00B957AA" w:rsidRDefault="00B957AA" w:rsidP="00B957AA">
      <w:pPr>
        <w:jc w:val="both"/>
        <w:rPr>
          <w:b/>
          <w:bCs/>
        </w:rPr>
      </w:pPr>
    </w:p>
    <w:p w14:paraId="3B0ECCBE" w14:textId="24A1798F" w:rsidR="00694BAD" w:rsidRPr="00B957AA" w:rsidRDefault="00694BAD" w:rsidP="00B957AA">
      <w:pPr>
        <w:jc w:val="both"/>
        <w:rPr>
          <w:b/>
          <w:bCs/>
        </w:rPr>
      </w:pPr>
      <w:r w:rsidRPr="00E06DCB">
        <w:rPr>
          <w:b/>
          <w:bCs/>
        </w:rPr>
        <w:t>Secondary legal aid: Eligibility</w:t>
      </w:r>
    </w:p>
    <w:p w14:paraId="688B88DA" w14:textId="63F94335" w:rsidR="009935A9" w:rsidRPr="009935A9" w:rsidRDefault="009935A9" w:rsidP="00C415AF">
      <w:pPr>
        <w:suppressAutoHyphens/>
        <w:autoSpaceDN w:val="0"/>
        <w:spacing w:after="0"/>
        <w:jc w:val="both"/>
        <w:textAlignment w:val="baseline"/>
        <w:rPr>
          <w:rFonts w:eastAsia="Calibri" w:cs="Calibri"/>
          <w:bCs/>
        </w:rPr>
      </w:pPr>
      <w:r w:rsidRPr="009935A9">
        <w:rPr>
          <w:rFonts w:eastAsia="Calibri" w:cs="Calibri"/>
          <w:bCs/>
        </w:rPr>
        <w:t xml:space="preserve">Secondary </w:t>
      </w:r>
      <w:r w:rsidR="00646241" w:rsidRPr="00626E37">
        <w:t>legal aid is granted to all citizens</w:t>
      </w:r>
      <w:r w:rsidR="00646241">
        <w:t xml:space="preserve"> </w:t>
      </w:r>
      <w:r w:rsidR="00646241" w:rsidRPr="00626E37">
        <w:t>of Lithuania</w:t>
      </w:r>
      <w:r w:rsidR="00646241">
        <w:t xml:space="preserve"> and </w:t>
      </w:r>
      <w:r w:rsidR="00646241" w:rsidRPr="00626E37">
        <w:t xml:space="preserve">other EU Member States, to other persons lawfully residing in Lithuania and other EU Member States, </w:t>
      </w:r>
      <w:r w:rsidR="00646241">
        <w:t xml:space="preserve">and </w:t>
      </w:r>
      <w:r w:rsidR="00646241" w:rsidRPr="00626E37">
        <w:t>to</w:t>
      </w:r>
      <w:r w:rsidR="00646241">
        <w:t xml:space="preserve"> </w:t>
      </w:r>
      <w:r w:rsidR="00646241" w:rsidRPr="00626E37">
        <w:t xml:space="preserve">persons specified in international treaties </w:t>
      </w:r>
      <w:r w:rsidR="00646241">
        <w:t>when</w:t>
      </w:r>
      <w:r w:rsidRPr="009935A9">
        <w:rPr>
          <w:rFonts w:eastAsia="Calibri" w:cs="Calibri"/>
          <w:bCs/>
        </w:rPr>
        <w:t xml:space="preserve"> the </w:t>
      </w:r>
      <w:r w:rsidR="00E06DCB">
        <w:rPr>
          <w:rFonts w:eastAsia="Calibri" w:cs="Calibri"/>
          <w:bCs/>
        </w:rPr>
        <w:t xml:space="preserve">conditions </w:t>
      </w:r>
      <w:r w:rsidRPr="009935A9">
        <w:rPr>
          <w:rFonts w:eastAsia="Calibri" w:cs="Calibri"/>
          <w:bCs/>
        </w:rPr>
        <w:t>for means and merit test are</w:t>
      </w:r>
      <w:r w:rsidR="00E06DCB">
        <w:rPr>
          <w:rFonts w:eastAsia="Calibri" w:cs="Calibri"/>
          <w:bCs/>
        </w:rPr>
        <w:t xml:space="preserve"> met</w:t>
      </w:r>
      <w:r w:rsidRPr="009935A9">
        <w:rPr>
          <w:rFonts w:eastAsia="Calibri" w:cs="Calibri"/>
          <w:bCs/>
        </w:rPr>
        <w:t>.</w:t>
      </w:r>
      <w:r w:rsidR="00E06DCB">
        <w:rPr>
          <w:rStyle w:val="FootnoteReference"/>
          <w:rFonts w:eastAsia="Calibri" w:cs="Calibri"/>
          <w:bCs/>
        </w:rPr>
        <w:footnoteReference w:id="26"/>
      </w:r>
    </w:p>
    <w:p w14:paraId="0134FD22" w14:textId="77777777" w:rsidR="009935A9" w:rsidRDefault="009935A9" w:rsidP="00C415AF">
      <w:pPr>
        <w:suppressAutoHyphens/>
        <w:autoSpaceDN w:val="0"/>
        <w:spacing w:after="0"/>
        <w:jc w:val="both"/>
        <w:textAlignment w:val="baseline"/>
        <w:rPr>
          <w:rFonts w:eastAsia="Calibri" w:cs="Calibri"/>
          <w:b/>
        </w:rPr>
      </w:pPr>
    </w:p>
    <w:p w14:paraId="66DD8219" w14:textId="77777777" w:rsidR="008A6F5F" w:rsidRDefault="008A6F5F" w:rsidP="00C415AF">
      <w:pPr>
        <w:suppressAutoHyphens/>
        <w:autoSpaceDN w:val="0"/>
        <w:spacing w:after="0"/>
        <w:jc w:val="both"/>
        <w:textAlignment w:val="baseline"/>
        <w:rPr>
          <w:rFonts w:eastAsia="Calibri" w:cs="Calibri"/>
          <w:b/>
        </w:rPr>
      </w:pPr>
    </w:p>
    <w:p w14:paraId="319738C9" w14:textId="5AD4D877" w:rsidR="009935A9" w:rsidRDefault="009935A9" w:rsidP="00C415AF">
      <w:pPr>
        <w:suppressAutoHyphens/>
        <w:autoSpaceDN w:val="0"/>
        <w:spacing w:after="0"/>
        <w:jc w:val="both"/>
        <w:textAlignment w:val="baseline"/>
        <w:rPr>
          <w:rFonts w:eastAsia="Calibri" w:cs="Calibri"/>
          <w:b/>
        </w:rPr>
      </w:pPr>
      <w:r>
        <w:rPr>
          <w:rFonts w:eastAsia="Calibri" w:cs="Calibri"/>
          <w:b/>
        </w:rPr>
        <w:t>Means test</w:t>
      </w:r>
    </w:p>
    <w:p w14:paraId="32812FD6" w14:textId="77777777" w:rsidR="008A6F5F" w:rsidRDefault="008A6F5F" w:rsidP="00C415AF">
      <w:pPr>
        <w:suppressAutoHyphens/>
        <w:autoSpaceDN w:val="0"/>
        <w:spacing w:after="0"/>
        <w:jc w:val="both"/>
        <w:textAlignment w:val="baseline"/>
        <w:rPr>
          <w:rFonts w:eastAsia="Calibri" w:cs="Calibri"/>
          <w:b/>
        </w:rPr>
      </w:pPr>
    </w:p>
    <w:p w14:paraId="13F95B1A" w14:textId="722A8C55" w:rsidR="009935A9" w:rsidRDefault="00694BAD" w:rsidP="00C415AF">
      <w:pPr>
        <w:suppressAutoHyphens/>
        <w:autoSpaceDN w:val="0"/>
        <w:spacing w:after="0"/>
        <w:jc w:val="both"/>
        <w:textAlignment w:val="baseline"/>
        <w:rPr>
          <w:rFonts w:eastAsia="Calibri" w:cs="Calibri"/>
        </w:rPr>
      </w:pPr>
      <w:r w:rsidRPr="009935A9">
        <w:rPr>
          <w:rFonts w:eastAsia="Calibri" w:cs="Calibri"/>
          <w:bCs/>
        </w:rPr>
        <w:t>In Lithuania,</w:t>
      </w:r>
      <w:r w:rsidRPr="00F12483">
        <w:rPr>
          <w:rFonts w:eastAsia="Calibri" w:cs="Calibri"/>
        </w:rPr>
        <w:t xml:space="preserve"> where </w:t>
      </w:r>
      <w:r w:rsidR="000E656F">
        <w:rPr>
          <w:rFonts w:eastAsia="Calibri" w:cs="Calibri"/>
        </w:rPr>
        <w:t xml:space="preserve">the </w:t>
      </w:r>
      <w:r w:rsidRPr="00F12483">
        <w:rPr>
          <w:rFonts w:eastAsia="Calibri" w:cs="Calibri"/>
        </w:rPr>
        <w:t xml:space="preserve">(i) “I level” of income and property is established or (ii) the person belongs to </w:t>
      </w:r>
      <w:r w:rsidR="00646241">
        <w:rPr>
          <w:rFonts w:eastAsia="Calibri" w:cs="Calibri"/>
        </w:rPr>
        <w:t xml:space="preserve">a </w:t>
      </w:r>
      <w:r w:rsidRPr="00F12483">
        <w:rPr>
          <w:rFonts w:eastAsia="Calibri" w:cs="Calibri"/>
        </w:rPr>
        <w:t xml:space="preserve">group of vulnerable people legal aid services are granted free of charge (100 percent of coverage) in 1 </w:t>
      </w:r>
      <w:r w:rsidR="00030428">
        <w:rPr>
          <w:rFonts w:eastAsia="Calibri" w:cs="Calibri"/>
        </w:rPr>
        <w:t>case.</w:t>
      </w:r>
      <w:r w:rsidR="00030428" w:rsidRPr="00030428">
        <w:t xml:space="preserve"> </w:t>
      </w:r>
      <w:r w:rsidR="00030428">
        <w:rPr>
          <w:rFonts w:eastAsia="Calibri" w:cs="Calibri"/>
        </w:rPr>
        <w:lastRenderedPageBreak/>
        <w:t>For the</w:t>
      </w:r>
      <w:r w:rsidR="00030428" w:rsidRPr="00030428">
        <w:rPr>
          <w:rFonts w:eastAsia="Calibri" w:cs="Calibri"/>
        </w:rPr>
        <w:t xml:space="preserve"> applicant who is already granted secondary legal aid in one case by the decision of SGLAS, the </w:t>
      </w:r>
      <w:r w:rsidR="003B26AF">
        <w:rPr>
          <w:rFonts w:eastAsia="Calibri" w:cs="Calibri"/>
        </w:rPr>
        <w:t>S</w:t>
      </w:r>
      <w:r w:rsidR="00030428" w:rsidRPr="00030428">
        <w:rPr>
          <w:rFonts w:eastAsia="Calibri" w:cs="Calibri"/>
        </w:rPr>
        <w:t xml:space="preserve">tate pays 30 percent of the costs of secondary legal aid in </w:t>
      </w:r>
      <w:r w:rsidR="00646241">
        <w:rPr>
          <w:rFonts w:eastAsia="Calibri" w:cs="Calibri"/>
        </w:rPr>
        <w:t>additional</w:t>
      </w:r>
      <w:r w:rsidR="00030428" w:rsidRPr="00030428">
        <w:rPr>
          <w:rFonts w:eastAsia="Calibri" w:cs="Calibri"/>
        </w:rPr>
        <w:t xml:space="preserve"> cases.</w:t>
      </w:r>
      <w:r w:rsidR="00E06DCB">
        <w:rPr>
          <w:rStyle w:val="FootnoteReference"/>
          <w:rFonts w:eastAsia="Calibri" w:cs="Calibri"/>
        </w:rPr>
        <w:footnoteReference w:id="27"/>
      </w:r>
    </w:p>
    <w:p w14:paraId="24653E29" w14:textId="77777777" w:rsidR="00030428" w:rsidRDefault="00030428" w:rsidP="00C415AF">
      <w:pPr>
        <w:suppressAutoHyphens/>
        <w:autoSpaceDN w:val="0"/>
        <w:spacing w:after="0"/>
        <w:jc w:val="both"/>
        <w:textAlignment w:val="baseline"/>
      </w:pPr>
    </w:p>
    <w:p w14:paraId="0C6E2E02" w14:textId="5549B31D" w:rsidR="00694BAD" w:rsidRDefault="00694BAD" w:rsidP="00C415AF">
      <w:pPr>
        <w:suppressAutoHyphens/>
        <w:autoSpaceDN w:val="0"/>
        <w:spacing w:after="0"/>
        <w:jc w:val="both"/>
        <w:textAlignment w:val="baseline"/>
        <w:rPr>
          <w:rFonts w:eastAsia="Calibri" w:cs="Calibri"/>
        </w:rPr>
      </w:pPr>
      <w:r w:rsidRPr="00F12483">
        <w:rPr>
          <w:rFonts w:eastAsia="Calibri" w:cs="Calibri"/>
        </w:rPr>
        <w:t xml:space="preserve">Where </w:t>
      </w:r>
      <w:r w:rsidR="000E656F">
        <w:rPr>
          <w:rFonts w:eastAsia="Calibri" w:cs="Calibri"/>
        </w:rPr>
        <w:t xml:space="preserve">the </w:t>
      </w:r>
      <w:r w:rsidRPr="00F12483">
        <w:rPr>
          <w:rFonts w:eastAsia="Calibri" w:cs="Calibri"/>
        </w:rPr>
        <w:t>“II level” of income and property is established the legal aid</w:t>
      </w:r>
      <w:r w:rsidR="00646241">
        <w:rPr>
          <w:rFonts w:eastAsia="Calibri" w:cs="Calibri"/>
        </w:rPr>
        <w:t xml:space="preserve"> costs </w:t>
      </w:r>
      <w:r w:rsidRPr="00F12483">
        <w:rPr>
          <w:rFonts w:eastAsia="Calibri" w:cs="Calibri"/>
        </w:rPr>
        <w:t xml:space="preserve">are covered </w:t>
      </w:r>
      <w:r w:rsidR="00646241">
        <w:rPr>
          <w:rFonts w:eastAsia="Calibri" w:cs="Calibri"/>
        </w:rPr>
        <w:t xml:space="preserve">by </w:t>
      </w:r>
      <w:r w:rsidRPr="00F12483">
        <w:rPr>
          <w:rFonts w:eastAsia="Calibri" w:cs="Calibri"/>
        </w:rPr>
        <w:t>50 percent in 1 case</w:t>
      </w:r>
      <w:r w:rsidR="00030428">
        <w:rPr>
          <w:rFonts w:eastAsia="Calibri" w:cs="Calibri"/>
        </w:rPr>
        <w:t xml:space="preserve">. </w:t>
      </w:r>
      <w:r w:rsidR="00646241">
        <w:rPr>
          <w:rFonts w:eastAsia="Calibri" w:cs="Calibri"/>
        </w:rPr>
        <w:t>Accordingly</w:t>
      </w:r>
      <w:r w:rsidR="00030428">
        <w:rPr>
          <w:rFonts w:eastAsia="Calibri" w:cs="Calibri"/>
        </w:rPr>
        <w:t xml:space="preserve">, </w:t>
      </w:r>
      <w:r w:rsidR="00030428" w:rsidRPr="00030428">
        <w:rPr>
          <w:rFonts w:eastAsia="Calibri" w:cs="Calibri"/>
        </w:rPr>
        <w:t xml:space="preserve">the </w:t>
      </w:r>
      <w:r w:rsidR="003B26AF">
        <w:rPr>
          <w:rFonts w:eastAsia="Calibri" w:cs="Calibri"/>
        </w:rPr>
        <w:t>S</w:t>
      </w:r>
      <w:r w:rsidR="00030428" w:rsidRPr="00030428">
        <w:rPr>
          <w:rFonts w:eastAsia="Calibri" w:cs="Calibri"/>
        </w:rPr>
        <w:t xml:space="preserve">tate pays </w:t>
      </w:r>
      <w:r w:rsidR="00030428">
        <w:rPr>
          <w:rFonts w:eastAsia="Calibri" w:cs="Calibri"/>
        </w:rPr>
        <w:t xml:space="preserve">only </w:t>
      </w:r>
      <w:r w:rsidR="00030428">
        <w:rPr>
          <w:rFonts w:eastAsia="Calibri" w:cs="Calibri"/>
          <w:lang w:val="en-US"/>
        </w:rPr>
        <w:t>15</w:t>
      </w:r>
      <w:r w:rsidR="00030428" w:rsidRPr="00030428">
        <w:rPr>
          <w:rFonts w:eastAsia="Calibri" w:cs="Calibri"/>
        </w:rPr>
        <w:t xml:space="preserve"> percent of the costs of secondary legal aid in </w:t>
      </w:r>
      <w:r w:rsidR="00646241">
        <w:rPr>
          <w:rFonts w:eastAsia="Calibri" w:cs="Calibri"/>
        </w:rPr>
        <w:t>additional</w:t>
      </w:r>
      <w:r w:rsidR="00030428" w:rsidRPr="00030428">
        <w:rPr>
          <w:rFonts w:eastAsia="Calibri" w:cs="Calibri"/>
        </w:rPr>
        <w:t xml:space="preserve"> cases.</w:t>
      </w:r>
      <w:r w:rsidR="00123BFB">
        <w:rPr>
          <w:rStyle w:val="FootnoteReference"/>
          <w:rFonts w:eastAsia="Calibri" w:cs="Calibri"/>
        </w:rPr>
        <w:footnoteReference w:id="28"/>
      </w:r>
    </w:p>
    <w:p w14:paraId="1667F040" w14:textId="77777777" w:rsidR="009935A9" w:rsidRPr="00F12483" w:rsidRDefault="009935A9" w:rsidP="00C415AF">
      <w:pPr>
        <w:suppressAutoHyphens/>
        <w:autoSpaceDN w:val="0"/>
        <w:spacing w:after="0"/>
        <w:jc w:val="both"/>
        <w:textAlignment w:val="baseline"/>
        <w:rPr>
          <w:rFonts w:eastAsia="Calibri" w:cs="Calibri"/>
        </w:rPr>
      </w:pPr>
    </w:p>
    <w:p w14:paraId="79E7BC7E" w14:textId="41FA02CA" w:rsidR="00694BAD" w:rsidRDefault="00694BAD" w:rsidP="00C415AF">
      <w:pPr>
        <w:suppressAutoHyphens/>
        <w:autoSpaceDN w:val="0"/>
        <w:spacing w:after="0"/>
        <w:jc w:val="both"/>
        <w:textAlignment w:val="baseline"/>
        <w:rPr>
          <w:rFonts w:eastAsia="Calibri" w:cs="Calibri"/>
        </w:rPr>
      </w:pPr>
      <w:r w:rsidRPr="00F12483">
        <w:rPr>
          <w:rFonts w:eastAsia="Calibri" w:cs="Calibri"/>
        </w:rPr>
        <w:t xml:space="preserve">“I level” of income is established when </w:t>
      </w:r>
      <w:r w:rsidR="00FB6745">
        <w:rPr>
          <w:rFonts w:eastAsia="Calibri" w:cs="Calibri"/>
        </w:rPr>
        <w:t xml:space="preserve">the </w:t>
      </w:r>
      <w:r w:rsidRPr="00F12483">
        <w:rPr>
          <w:rFonts w:eastAsia="Calibri" w:cs="Calibri"/>
        </w:rPr>
        <w:t xml:space="preserve">annual income </w:t>
      </w:r>
      <w:r w:rsidR="00FB6745">
        <w:rPr>
          <w:rFonts w:eastAsia="Calibri" w:cs="Calibri"/>
        </w:rPr>
        <w:t xml:space="preserve">of the applicant </w:t>
      </w:r>
      <w:r w:rsidRPr="00F12483">
        <w:rPr>
          <w:rFonts w:eastAsia="Calibri" w:cs="Calibri"/>
        </w:rPr>
        <w:t xml:space="preserve">does not exceed </w:t>
      </w:r>
      <w:r w:rsidR="00F203DD" w:rsidRPr="00F203DD">
        <w:rPr>
          <w:rFonts w:eastAsia="Calibri" w:cs="Calibri"/>
        </w:rPr>
        <w:t>37,68</w:t>
      </w:r>
      <w:r w:rsidRPr="00F12483">
        <w:rPr>
          <w:rFonts w:eastAsia="Calibri" w:cs="Calibri"/>
        </w:rPr>
        <w:t xml:space="preserve"> </w:t>
      </w:r>
      <w:r w:rsidR="008A6F5F">
        <w:rPr>
          <w:rFonts w:eastAsia="Calibri" w:cs="Calibri"/>
        </w:rPr>
        <w:t xml:space="preserve">x </w:t>
      </w:r>
      <w:r w:rsidR="00F203DD">
        <w:rPr>
          <w:rFonts w:eastAsia="Calibri" w:cs="Calibri"/>
        </w:rPr>
        <w:t>SSI</w:t>
      </w:r>
      <w:r w:rsidR="00F203DD">
        <w:rPr>
          <w:rStyle w:val="FootnoteReference"/>
          <w:rFonts w:eastAsia="Calibri" w:cs="Calibri"/>
        </w:rPr>
        <w:footnoteReference w:id="29"/>
      </w:r>
      <w:r w:rsidRPr="00F12483">
        <w:rPr>
          <w:rFonts w:eastAsia="Calibri" w:cs="Calibri"/>
        </w:rPr>
        <w:t xml:space="preserve"> for the applicant </w:t>
      </w:r>
      <w:r w:rsidR="00FB6745">
        <w:rPr>
          <w:rFonts w:eastAsia="Calibri" w:cs="Calibri"/>
        </w:rPr>
        <w:t>plus</w:t>
      </w:r>
      <w:r w:rsidRPr="00F12483">
        <w:rPr>
          <w:rFonts w:eastAsia="Calibri" w:cs="Calibri"/>
        </w:rPr>
        <w:t xml:space="preserve"> </w:t>
      </w:r>
      <w:r w:rsidR="00F203DD" w:rsidRPr="00F203DD">
        <w:rPr>
          <w:rFonts w:eastAsia="Calibri" w:cs="Calibri"/>
        </w:rPr>
        <w:t>14,13</w:t>
      </w:r>
      <w:r w:rsidR="00F203DD">
        <w:rPr>
          <w:rFonts w:eastAsia="Calibri" w:cs="Calibri"/>
        </w:rPr>
        <w:t xml:space="preserve"> </w:t>
      </w:r>
      <w:r w:rsidR="008A6F5F">
        <w:rPr>
          <w:rFonts w:eastAsia="Calibri" w:cs="Calibri"/>
        </w:rPr>
        <w:t xml:space="preserve">x </w:t>
      </w:r>
      <w:r w:rsidR="00F203DD">
        <w:rPr>
          <w:rFonts w:eastAsia="Calibri" w:cs="Calibri"/>
        </w:rPr>
        <w:t>SSI</w:t>
      </w:r>
      <w:r w:rsidRPr="00F12483">
        <w:rPr>
          <w:rFonts w:eastAsia="Calibri" w:cs="Calibri"/>
        </w:rPr>
        <w:t xml:space="preserve"> for every dependent of the applicant. “II level” of income is established when </w:t>
      </w:r>
      <w:r w:rsidR="00FB6745">
        <w:rPr>
          <w:rFonts w:eastAsia="Calibri" w:cs="Calibri"/>
        </w:rPr>
        <w:t xml:space="preserve">the </w:t>
      </w:r>
      <w:r w:rsidRPr="00F12483">
        <w:rPr>
          <w:rFonts w:eastAsia="Calibri" w:cs="Calibri"/>
        </w:rPr>
        <w:t xml:space="preserve">annual income </w:t>
      </w:r>
      <w:r w:rsidR="00FB6745">
        <w:rPr>
          <w:rFonts w:eastAsia="Calibri" w:cs="Calibri"/>
        </w:rPr>
        <w:t xml:space="preserve">of the applicant </w:t>
      </w:r>
      <w:r w:rsidRPr="00F12483">
        <w:rPr>
          <w:rFonts w:eastAsia="Calibri" w:cs="Calibri"/>
        </w:rPr>
        <w:t xml:space="preserve">does not exceed </w:t>
      </w:r>
      <w:r w:rsidR="00F203DD" w:rsidRPr="00F203DD">
        <w:rPr>
          <w:rFonts w:eastAsia="Calibri" w:cs="Calibri"/>
        </w:rPr>
        <w:t xml:space="preserve">56,52 </w:t>
      </w:r>
      <w:r w:rsidR="008A6F5F">
        <w:rPr>
          <w:rFonts w:eastAsia="Calibri" w:cs="Calibri"/>
        </w:rPr>
        <w:t xml:space="preserve">x </w:t>
      </w:r>
      <w:r w:rsidR="00F203DD">
        <w:rPr>
          <w:rFonts w:eastAsia="Calibri" w:cs="Calibri"/>
        </w:rPr>
        <w:t>SSI</w:t>
      </w:r>
      <w:r w:rsidRPr="00F12483">
        <w:rPr>
          <w:rFonts w:eastAsia="Calibri" w:cs="Calibri"/>
        </w:rPr>
        <w:t xml:space="preserve"> for the applicant </w:t>
      </w:r>
      <w:r w:rsidR="00FB6745">
        <w:rPr>
          <w:rFonts w:eastAsia="Calibri" w:cs="Calibri"/>
        </w:rPr>
        <w:t>plus</w:t>
      </w:r>
      <w:r w:rsidRPr="00F12483">
        <w:rPr>
          <w:rFonts w:eastAsia="Calibri" w:cs="Calibri"/>
        </w:rPr>
        <w:t xml:space="preserve"> </w:t>
      </w:r>
      <w:r w:rsidR="00F203DD" w:rsidRPr="00F203DD">
        <w:rPr>
          <w:rFonts w:eastAsia="Calibri" w:cs="Calibri"/>
        </w:rPr>
        <w:t>20,74</w:t>
      </w:r>
      <w:r w:rsidRPr="00F12483">
        <w:rPr>
          <w:rFonts w:eastAsia="Calibri" w:cs="Calibri"/>
        </w:rPr>
        <w:t xml:space="preserve"> </w:t>
      </w:r>
      <w:r w:rsidR="008A6F5F">
        <w:rPr>
          <w:rFonts w:eastAsia="Calibri" w:cs="Calibri"/>
        </w:rPr>
        <w:t xml:space="preserve">x </w:t>
      </w:r>
      <w:r w:rsidR="00F203DD">
        <w:rPr>
          <w:rFonts w:eastAsia="Calibri" w:cs="Calibri"/>
        </w:rPr>
        <w:t>SSI</w:t>
      </w:r>
      <w:r w:rsidRPr="00F12483">
        <w:rPr>
          <w:rFonts w:eastAsia="Calibri" w:cs="Calibri"/>
        </w:rPr>
        <w:t xml:space="preserve"> for every dependent of the applicant.</w:t>
      </w:r>
      <w:r w:rsidR="0081302F">
        <w:rPr>
          <w:rStyle w:val="FootnoteReference"/>
          <w:rFonts w:eastAsia="Calibri" w:cs="Calibri"/>
        </w:rPr>
        <w:footnoteReference w:id="30"/>
      </w:r>
    </w:p>
    <w:p w14:paraId="24DB0550" w14:textId="77777777" w:rsidR="009935A9" w:rsidRPr="00F12483" w:rsidRDefault="009935A9" w:rsidP="00C415AF">
      <w:pPr>
        <w:suppressAutoHyphens/>
        <w:autoSpaceDN w:val="0"/>
        <w:spacing w:after="0"/>
        <w:jc w:val="both"/>
        <w:textAlignment w:val="baseline"/>
        <w:rPr>
          <w:rFonts w:eastAsia="Calibri" w:cs="Calibri"/>
        </w:rPr>
      </w:pPr>
    </w:p>
    <w:p w14:paraId="67F3CC11" w14:textId="6CE46E32" w:rsidR="008D57C1" w:rsidRPr="00F12483" w:rsidRDefault="008D57C1" w:rsidP="008D57C1">
      <w:pPr>
        <w:suppressAutoHyphens/>
        <w:autoSpaceDN w:val="0"/>
        <w:spacing w:after="0"/>
        <w:jc w:val="both"/>
        <w:textAlignment w:val="baseline"/>
        <w:rPr>
          <w:rFonts w:eastAsia="Calibri" w:cs="Calibri"/>
        </w:rPr>
      </w:pPr>
      <w:r w:rsidRPr="00F12483">
        <w:rPr>
          <w:rFonts w:eastAsia="Calibri" w:cs="Calibri"/>
        </w:rPr>
        <w:t xml:space="preserve">Dependent means </w:t>
      </w:r>
      <w:r w:rsidR="0081302F">
        <w:rPr>
          <w:rFonts w:eastAsia="Calibri" w:cs="Calibri"/>
        </w:rPr>
        <w:t xml:space="preserve">an </w:t>
      </w:r>
      <w:r w:rsidRPr="00F12483">
        <w:rPr>
          <w:rFonts w:eastAsia="Calibri" w:cs="Calibri"/>
        </w:rPr>
        <w:t>unemployed spouse</w:t>
      </w:r>
      <w:r>
        <w:rPr>
          <w:rFonts w:eastAsia="Calibri" w:cs="Calibri"/>
        </w:rPr>
        <w:t>,</w:t>
      </w:r>
      <w:r w:rsidRPr="00F12483">
        <w:rPr>
          <w:rFonts w:eastAsia="Calibri" w:cs="Calibri"/>
        </w:rPr>
        <w:t xml:space="preserve"> child till 18 years old</w:t>
      </w:r>
      <w:r>
        <w:rPr>
          <w:rFonts w:eastAsia="Calibri" w:cs="Calibri"/>
        </w:rPr>
        <w:t>,</w:t>
      </w:r>
      <w:r w:rsidRPr="00F12483">
        <w:rPr>
          <w:rFonts w:eastAsia="Calibri" w:cs="Calibri"/>
        </w:rPr>
        <w:t xml:space="preserve"> child till 24 years old </w:t>
      </w:r>
      <w:r>
        <w:rPr>
          <w:rFonts w:eastAsia="Calibri" w:cs="Calibri"/>
        </w:rPr>
        <w:t>wh</w:t>
      </w:r>
      <w:r w:rsidR="0081302F">
        <w:rPr>
          <w:rFonts w:eastAsia="Calibri" w:cs="Calibri"/>
        </w:rPr>
        <w:t xml:space="preserve">o </w:t>
      </w:r>
      <w:r w:rsidR="00C21BEA" w:rsidRPr="00F12483">
        <w:rPr>
          <w:rFonts w:eastAsia="Calibri" w:cs="Calibri"/>
        </w:rPr>
        <w:t xml:space="preserve">full-time </w:t>
      </w:r>
      <w:r w:rsidRPr="00F12483">
        <w:rPr>
          <w:rFonts w:eastAsia="Calibri" w:cs="Calibri"/>
        </w:rPr>
        <w:t>stud</w:t>
      </w:r>
      <w:r>
        <w:rPr>
          <w:rFonts w:eastAsia="Calibri" w:cs="Calibri"/>
        </w:rPr>
        <w:t>ies</w:t>
      </w:r>
      <w:r w:rsidRPr="00F12483">
        <w:rPr>
          <w:rFonts w:eastAsia="Calibri" w:cs="Calibri"/>
        </w:rPr>
        <w:t xml:space="preserve"> </w:t>
      </w:r>
      <w:r w:rsidR="00C21BEA" w:rsidRPr="00C21BEA">
        <w:rPr>
          <w:rFonts w:eastAsia="Calibri" w:cs="Calibri"/>
        </w:rPr>
        <w:t>in a public educational institution</w:t>
      </w:r>
      <w:r w:rsidR="00C21BEA">
        <w:rPr>
          <w:rFonts w:eastAsia="Calibri" w:cs="Calibri"/>
        </w:rPr>
        <w:t xml:space="preserve">, as well as any other </w:t>
      </w:r>
      <w:r w:rsidRPr="00F12483">
        <w:rPr>
          <w:rFonts w:eastAsia="Calibri" w:cs="Calibri"/>
        </w:rPr>
        <w:t>person</w:t>
      </w:r>
      <w:r w:rsidR="0081302F">
        <w:rPr>
          <w:rFonts w:eastAsia="Calibri" w:cs="Calibri"/>
        </w:rPr>
        <w:t xml:space="preserve"> who </w:t>
      </w:r>
      <w:r w:rsidR="0081302F" w:rsidRPr="00F12483">
        <w:rPr>
          <w:rFonts w:eastAsia="Calibri" w:cs="Calibri"/>
        </w:rPr>
        <w:t>depend</w:t>
      </w:r>
      <w:r w:rsidR="0081302F">
        <w:rPr>
          <w:rFonts w:eastAsia="Calibri" w:cs="Calibri"/>
        </w:rPr>
        <w:t>s on the applicant</w:t>
      </w:r>
      <w:r w:rsidR="00C21BEA">
        <w:rPr>
          <w:rFonts w:eastAsia="Calibri" w:cs="Calibri"/>
        </w:rPr>
        <w:t xml:space="preserve"> for legal aid</w:t>
      </w:r>
      <w:r w:rsidR="0081302F">
        <w:rPr>
          <w:rFonts w:eastAsia="Calibri" w:cs="Calibri"/>
        </w:rPr>
        <w:t xml:space="preserve"> and lives together with him</w:t>
      </w:r>
      <w:r w:rsidRPr="00F12483">
        <w:rPr>
          <w:rFonts w:eastAsia="Calibri" w:cs="Calibri"/>
        </w:rPr>
        <w:t>.</w:t>
      </w:r>
      <w:r w:rsidR="0081302F">
        <w:rPr>
          <w:rStyle w:val="FootnoteReference"/>
          <w:rFonts w:eastAsia="Calibri" w:cs="Calibri"/>
        </w:rPr>
        <w:footnoteReference w:id="31"/>
      </w:r>
    </w:p>
    <w:p w14:paraId="0D68503C" w14:textId="77777777" w:rsidR="008D57C1" w:rsidRDefault="008D57C1" w:rsidP="00C415AF">
      <w:pPr>
        <w:suppressAutoHyphens/>
        <w:autoSpaceDN w:val="0"/>
        <w:spacing w:after="0"/>
        <w:jc w:val="both"/>
        <w:textAlignment w:val="baseline"/>
        <w:rPr>
          <w:rFonts w:eastAsia="Calibri" w:cs="Calibri"/>
        </w:rPr>
      </w:pPr>
    </w:p>
    <w:p w14:paraId="7EF1EDFC" w14:textId="4AC30826" w:rsidR="009935A9" w:rsidRDefault="00694BAD" w:rsidP="00C415AF">
      <w:pPr>
        <w:suppressAutoHyphens/>
        <w:autoSpaceDN w:val="0"/>
        <w:spacing w:after="0"/>
        <w:jc w:val="both"/>
        <w:textAlignment w:val="baseline"/>
        <w:rPr>
          <w:rFonts w:eastAsia="Calibri" w:cs="Calibri"/>
        </w:rPr>
      </w:pPr>
      <w:r w:rsidRPr="00F12483">
        <w:rPr>
          <w:rFonts w:eastAsia="Calibri" w:cs="Calibri"/>
        </w:rPr>
        <w:t xml:space="preserve">If </w:t>
      </w:r>
      <w:r w:rsidR="008D57C1">
        <w:rPr>
          <w:rFonts w:eastAsia="Calibri" w:cs="Calibri"/>
        </w:rPr>
        <w:t xml:space="preserve">the </w:t>
      </w:r>
      <w:r w:rsidRPr="00F12483">
        <w:rPr>
          <w:rFonts w:eastAsia="Calibri" w:cs="Calibri"/>
        </w:rPr>
        <w:t xml:space="preserve">annual income </w:t>
      </w:r>
      <w:r w:rsidR="008D57C1">
        <w:rPr>
          <w:rFonts w:eastAsia="Calibri" w:cs="Calibri"/>
        </w:rPr>
        <w:t xml:space="preserve">of the applicant </w:t>
      </w:r>
      <w:r w:rsidRPr="00F12483">
        <w:rPr>
          <w:rFonts w:eastAsia="Calibri" w:cs="Calibri"/>
        </w:rPr>
        <w:t xml:space="preserve">exceeds the </w:t>
      </w:r>
      <w:r w:rsidR="008D57C1">
        <w:rPr>
          <w:rFonts w:eastAsia="Calibri" w:cs="Calibri"/>
        </w:rPr>
        <w:t>“</w:t>
      </w:r>
      <w:r w:rsidRPr="00F12483">
        <w:rPr>
          <w:rFonts w:eastAsia="Calibri" w:cs="Calibri"/>
        </w:rPr>
        <w:t>II level</w:t>
      </w:r>
      <w:r w:rsidR="008D57C1">
        <w:rPr>
          <w:rFonts w:eastAsia="Calibri" w:cs="Calibri"/>
        </w:rPr>
        <w:t>”</w:t>
      </w:r>
      <w:r w:rsidRPr="00F12483">
        <w:rPr>
          <w:rFonts w:eastAsia="Calibri" w:cs="Calibri"/>
        </w:rPr>
        <w:t xml:space="preserve"> </w:t>
      </w:r>
      <w:r w:rsidR="008D57C1">
        <w:rPr>
          <w:rFonts w:eastAsia="Calibri" w:cs="Calibri"/>
        </w:rPr>
        <w:t>he</w:t>
      </w:r>
      <w:r w:rsidRPr="00F12483">
        <w:rPr>
          <w:rFonts w:eastAsia="Calibri" w:cs="Calibri"/>
        </w:rPr>
        <w:t xml:space="preserve"> cannot get legal aid.  </w:t>
      </w:r>
    </w:p>
    <w:p w14:paraId="0D289099" w14:textId="77777777" w:rsidR="009935A9" w:rsidRDefault="009935A9" w:rsidP="00C415AF">
      <w:pPr>
        <w:suppressAutoHyphens/>
        <w:autoSpaceDN w:val="0"/>
        <w:spacing w:after="0"/>
        <w:jc w:val="both"/>
        <w:textAlignment w:val="baseline"/>
        <w:rPr>
          <w:rFonts w:eastAsia="Calibri" w:cs="Calibri"/>
        </w:rPr>
      </w:pPr>
    </w:p>
    <w:p w14:paraId="422DBEAB" w14:textId="1DCBE3A2" w:rsidR="00694BAD" w:rsidRPr="00F12483" w:rsidRDefault="00694BAD" w:rsidP="00C415AF">
      <w:pPr>
        <w:suppressAutoHyphens/>
        <w:autoSpaceDN w:val="0"/>
        <w:spacing w:after="0"/>
        <w:jc w:val="both"/>
        <w:textAlignment w:val="baseline"/>
        <w:rPr>
          <w:rFonts w:eastAsia="Calibri" w:cs="Calibri"/>
        </w:rPr>
      </w:pPr>
      <w:r w:rsidRPr="00F12483">
        <w:rPr>
          <w:rFonts w:eastAsia="Calibri" w:cs="Calibri"/>
        </w:rPr>
        <w:t xml:space="preserve">In addition to the </w:t>
      </w:r>
      <w:r w:rsidR="008D57C1">
        <w:rPr>
          <w:rFonts w:eastAsia="Calibri" w:cs="Calibri"/>
        </w:rPr>
        <w:t xml:space="preserve">assessment of the applicant’s </w:t>
      </w:r>
      <w:r w:rsidRPr="00F12483">
        <w:rPr>
          <w:rFonts w:eastAsia="Calibri" w:cs="Calibri"/>
        </w:rPr>
        <w:t xml:space="preserve">income the property owned by </w:t>
      </w:r>
      <w:r w:rsidR="008D57C1">
        <w:rPr>
          <w:rFonts w:eastAsia="Calibri" w:cs="Calibri"/>
        </w:rPr>
        <w:t>him</w:t>
      </w:r>
      <w:r w:rsidRPr="00F12483">
        <w:rPr>
          <w:rFonts w:eastAsia="Calibri" w:cs="Calibri"/>
        </w:rPr>
        <w:t xml:space="preserve"> is also taken into account. </w:t>
      </w:r>
      <w:r w:rsidR="00C21BEA">
        <w:rPr>
          <w:rFonts w:eastAsia="Calibri" w:cs="Calibri"/>
        </w:rPr>
        <w:t xml:space="preserve">The </w:t>
      </w:r>
      <w:r w:rsidRPr="00F12483">
        <w:rPr>
          <w:rFonts w:eastAsia="Calibri" w:cs="Calibri"/>
        </w:rPr>
        <w:t xml:space="preserve">“I level” of property is established when </w:t>
      </w:r>
      <w:r w:rsidR="001F6B00">
        <w:rPr>
          <w:rFonts w:eastAsia="Calibri" w:cs="Calibri"/>
        </w:rPr>
        <w:t xml:space="preserve">the </w:t>
      </w:r>
      <w:r w:rsidRPr="00F12483">
        <w:rPr>
          <w:rFonts w:eastAsia="Calibri" w:cs="Calibri"/>
        </w:rPr>
        <w:t xml:space="preserve">actual value of the property owned does not exceed the “normative”. </w:t>
      </w:r>
      <w:r w:rsidR="00C21BEA">
        <w:rPr>
          <w:rFonts w:eastAsia="Calibri" w:cs="Calibri"/>
        </w:rPr>
        <w:t xml:space="preserve">The </w:t>
      </w:r>
      <w:r w:rsidRPr="00F12483">
        <w:rPr>
          <w:rFonts w:eastAsia="Calibri" w:cs="Calibri"/>
        </w:rPr>
        <w:t xml:space="preserve">“II level” of property is established when </w:t>
      </w:r>
      <w:r w:rsidR="001F6B00">
        <w:rPr>
          <w:rFonts w:eastAsia="Calibri" w:cs="Calibri"/>
        </w:rPr>
        <w:t xml:space="preserve">the </w:t>
      </w:r>
      <w:r w:rsidRPr="00F12483">
        <w:rPr>
          <w:rFonts w:eastAsia="Calibri" w:cs="Calibri"/>
        </w:rPr>
        <w:t>actual value of the property owned does not exceed the 1,5 x “normative”.</w:t>
      </w:r>
      <w:r w:rsidR="00C21BEA">
        <w:rPr>
          <w:rStyle w:val="FootnoteReference"/>
          <w:rFonts w:eastAsia="Calibri" w:cs="Calibri"/>
        </w:rPr>
        <w:footnoteReference w:id="32"/>
      </w:r>
    </w:p>
    <w:p w14:paraId="0DDCA7D3" w14:textId="2142B58B" w:rsidR="00694BAD" w:rsidRPr="002D056D" w:rsidRDefault="002D056D" w:rsidP="002D056D">
      <w:pPr>
        <w:spacing w:before="240"/>
        <w:jc w:val="both"/>
      </w:pPr>
      <w:r w:rsidRPr="002D056D">
        <w:t xml:space="preserve">When </w:t>
      </w:r>
      <w:r w:rsidR="001F6B00">
        <w:t xml:space="preserve">the </w:t>
      </w:r>
      <w:r w:rsidR="00F4175D">
        <w:t>applicant’s</w:t>
      </w:r>
      <w:r w:rsidRPr="002D056D">
        <w:t xml:space="preserve"> income and property exceed the limits established by the Government, </w:t>
      </w:r>
      <w:r w:rsidR="00F4175D">
        <w:t>he can</w:t>
      </w:r>
      <w:r w:rsidRPr="002D056D">
        <w:t xml:space="preserve"> request an additional assessment of his situation</w:t>
      </w:r>
      <w:r w:rsidR="00F4175D">
        <w:t>.</w:t>
      </w:r>
      <w:r w:rsidR="00F4692B">
        <w:rPr>
          <w:rStyle w:val="FootnoteReference"/>
        </w:rPr>
        <w:footnoteReference w:id="33"/>
      </w:r>
      <w:r w:rsidR="00F4175D">
        <w:t xml:space="preserve"> For the additional assessment</w:t>
      </w:r>
      <w:r w:rsidR="001F6B00">
        <w:t>,</w:t>
      </w:r>
      <w:r w:rsidR="00F4175D">
        <w:t xml:space="preserve"> the applicant has to</w:t>
      </w:r>
      <w:r w:rsidR="00FD0FD8">
        <w:t xml:space="preserve"> submit </w:t>
      </w:r>
      <w:r w:rsidRPr="002D056D">
        <w:t>documents and information supporting th</w:t>
      </w:r>
      <w:r w:rsidR="001F6B00">
        <w:t>e</w:t>
      </w:r>
      <w:r w:rsidRPr="002D056D">
        <w:t xml:space="preserve"> request. </w:t>
      </w:r>
      <w:r w:rsidR="00FD0FD8">
        <w:t>During the a</w:t>
      </w:r>
      <w:r w:rsidRPr="002D056D">
        <w:t>ssess</w:t>
      </w:r>
      <w:r w:rsidR="00FD0FD8">
        <w:t>ment of</w:t>
      </w:r>
      <w:r w:rsidR="001F6B00">
        <w:t xml:space="preserve"> </w:t>
      </w:r>
      <w:r w:rsidR="00FD0FD8">
        <w:t xml:space="preserve">the </w:t>
      </w:r>
      <w:r w:rsidR="001F6B00">
        <w:t xml:space="preserve">personal situation, </w:t>
      </w:r>
      <w:r w:rsidRPr="002D056D">
        <w:t>the applicant's living and financial situation, opportunities for effective self-representation,</w:t>
      </w:r>
      <w:r w:rsidR="00FD0FD8">
        <w:t xml:space="preserve"> </w:t>
      </w:r>
      <w:r w:rsidRPr="002D056D">
        <w:t xml:space="preserve">legal aid costs, </w:t>
      </w:r>
      <w:r w:rsidR="00FD0FD8">
        <w:t>the</w:t>
      </w:r>
      <w:r w:rsidRPr="002D056D">
        <w:t xml:space="preserve"> complexity of the case, </w:t>
      </w:r>
      <w:r w:rsidR="00FD0FD8">
        <w:t>the</w:t>
      </w:r>
      <w:r w:rsidRPr="002D056D">
        <w:t xml:space="preserve"> applicant's procedural position</w:t>
      </w:r>
      <w:r w:rsidR="00FD0FD8">
        <w:t>,</w:t>
      </w:r>
      <w:r w:rsidRPr="002D056D">
        <w:t xml:space="preserve"> and </w:t>
      </w:r>
      <w:r w:rsidR="00FD0FD8">
        <w:t xml:space="preserve">the influence of the </w:t>
      </w:r>
      <w:r w:rsidR="00FD0FD8" w:rsidRPr="002D056D">
        <w:t xml:space="preserve">negative </w:t>
      </w:r>
      <w:r w:rsidR="00FD0FD8">
        <w:t>outcome</w:t>
      </w:r>
      <w:r w:rsidR="00FD0FD8" w:rsidRPr="002D056D">
        <w:t xml:space="preserve"> </w:t>
      </w:r>
      <w:r w:rsidR="00FD0FD8">
        <w:t>on</w:t>
      </w:r>
      <w:r w:rsidR="00FD0FD8" w:rsidRPr="002D056D">
        <w:t xml:space="preserve"> the applicant</w:t>
      </w:r>
      <w:r w:rsidR="00FD0FD8">
        <w:t xml:space="preserve"> are taken into account</w:t>
      </w:r>
      <w:r w:rsidRPr="002D056D">
        <w:t xml:space="preserve">. SGLAS makes </w:t>
      </w:r>
      <w:r w:rsidR="00FD0FD8">
        <w:t xml:space="preserve">an </w:t>
      </w:r>
      <w:r w:rsidRPr="002D056D">
        <w:t>a</w:t>
      </w:r>
      <w:r w:rsidR="00FD0FD8">
        <w:t xml:space="preserve">ssessment </w:t>
      </w:r>
      <w:r w:rsidRPr="002D056D">
        <w:t xml:space="preserve">decision </w:t>
      </w:r>
      <w:r w:rsidR="005241E4">
        <w:t>by</w:t>
      </w:r>
      <w:r w:rsidRPr="002D056D">
        <w:t xml:space="preserve"> the rules established by the </w:t>
      </w:r>
      <w:r w:rsidR="001F6B00">
        <w:t xml:space="preserve">order of the </w:t>
      </w:r>
      <w:r w:rsidRPr="002D056D">
        <w:t>Minister of Justice.</w:t>
      </w:r>
      <w:r w:rsidR="00A976A0">
        <w:rPr>
          <w:rStyle w:val="FootnoteReference"/>
        </w:rPr>
        <w:footnoteReference w:id="34"/>
      </w:r>
    </w:p>
    <w:p w14:paraId="17594246" w14:textId="29706CF2" w:rsidR="009935A9" w:rsidRPr="000C16F5" w:rsidRDefault="009935A9" w:rsidP="009935A9">
      <w:pPr>
        <w:ind w:firstLine="426"/>
        <w:jc w:val="both"/>
        <w:rPr>
          <w:lang w:val="lt-LT"/>
        </w:rPr>
      </w:pPr>
      <w:r w:rsidRPr="00626E37">
        <w:t xml:space="preserve">There are </w:t>
      </w:r>
      <w:r w:rsidR="008E5C27">
        <w:t xml:space="preserve">a </w:t>
      </w:r>
      <w:r w:rsidRPr="00626E37">
        <w:t>group of vulnerable people to whom secondary legal aid is</w:t>
      </w:r>
      <w:r w:rsidRPr="00626E37">
        <w:rPr>
          <w:b/>
          <w:i/>
        </w:rPr>
        <w:t xml:space="preserve"> </w:t>
      </w:r>
      <w:r w:rsidRPr="00626E37">
        <w:t xml:space="preserve">provided regardless of the </w:t>
      </w:r>
      <w:r w:rsidR="008E5C27" w:rsidRPr="00626E37">
        <w:t xml:space="preserve">income </w:t>
      </w:r>
      <w:r w:rsidR="008E5C27">
        <w:t>they have and the p</w:t>
      </w:r>
      <w:r w:rsidRPr="00626E37">
        <w:t xml:space="preserve">roperty </w:t>
      </w:r>
      <w:r w:rsidR="008E5C27">
        <w:t xml:space="preserve">they </w:t>
      </w:r>
      <w:r w:rsidRPr="00626E37">
        <w:t>own</w:t>
      </w:r>
      <w:r w:rsidR="008E5C27">
        <w:t>.</w:t>
      </w:r>
      <w:r w:rsidR="00A976A0">
        <w:rPr>
          <w:rStyle w:val="FootnoteReference"/>
        </w:rPr>
        <w:footnoteReference w:id="35"/>
      </w:r>
      <w:r w:rsidR="008E5C27">
        <w:t xml:space="preserve"> Such people are:</w:t>
      </w:r>
    </w:p>
    <w:p w14:paraId="565038B1" w14:textId="5FFB1CCD" w:rsidR="009935A9" w:rsidRPr="00626E37" w:rsidRDefault="008E5C27" w:rsidP="009935A9">
      <w:pPr>
        <w:widowControl w:val="0"/>
        <w:numPr>
          <w:ilvl w:val="0"/>
          <w:numId w:val="7"/>
        </w:numPr>
        <w:spacing w:after="200" w:line="276" w:lineRule="auto"/>
        <w:contextualSpacing/>
        <w:jc w:val="both"/>
      </w:pPr>
      <w:r>
        <w:rPr>
          <w:color w:val="000000"/>
        </w:rPr>
        <w:t xml:space="preserve">suspects, accused or sentenced </w:t>
      </w:r>
      <w:r w:rsidR="009935A9" w:rsidRPr="00626E37">
        <w:rPr>
          <w:color w:val="000000"/>
        </w:rPr>
        <w:t xml:space="preserve">in criminal proceedings when the presence of a </w:t>
      </w:r>
      <w:proofErr w:type="spellStart"/>
      <w:r w:rsidR="009935A9" w:rsidRPr="00626E37">
        <w:rPr>
          <w:color w:val="000000"/>
        </w:rPr>
        <w:t>defen</w:t>
      </w:r>
      <w:r>
        <w:rPr>
          <w:color w:val="000000"/>
        </w:rPr>
        <w:t>s</w:t>
      </w:r>
      <w:r w:rsidR="009935A9" w:rsidRPr="00626E37">
        <w:rPr>
          <w:color w:val="000000"/>
        </w:rPr>
        <w:t>e</w:t>
      </w:r>
      <w:proofErr w:type="spellEnd"/>
      <w:r w:rsidR="009935A9" w:rsidRPr="00626E37">
        <w:rPr>
          <w:color w:val="000000"/>
        </w:rPr>
        <w:t xml:space="preserve"> lawyer is mandatory;</w:t>
      </w:r>
    </w:p>
    <w:p w14:paraId="0C12D0AF" w14:textId="0E1A0D1A" w:rsidR="000C16F5" w:rsidRDefault="000C16F5" w:rsidP="009935A9">
      <w:pPr>
        <w:widowControl w:val="0"/>
        <w:numPr>
          <w:ilvl w:val="0"/>
          <w:numId w:val="7"/>
        </w:numPr>
        <w:spacing w:after="200" w:line="276" w:lineRule="auto"/>
        <w:contextualSpacing/>
        <w:jc w:val="both"/>
      </w:pPr>
      <w:r w:rsidRPr="000C16F5">
        <w:t>victims of terrorist acts, human trafficking, domestic violence, violations of human sexual integrity and inviolability, crimes committed by organized groups, as well as when the crime was aimed at expressing hatred towards the victim due to age, gender, sexual orientation, disability, race, nationality, language, origin, social status, faith, beliefs or views</w:t>
      </w:r>
      <w:r>
        <w:t>;</w:t>
      </w:r>
    </w:p>
    <w:p w14:paraId="6796A8CC" w14:textId="328FE8F8" w:rsidR="000C16F5" w:rsidRPr="00626E37" w:rsidRDefault="000C16F5" w:rsidP="000C16F5">
      <w:pPr>
        <w:widowControl w:val="0"/>
        <w:numPr>
          <w:ilvl w:val="0"/>
          <w:numId w:val="7"/>
        </w:numPr>
        <w:spacing w:after="200" w:line="276" w:lineRule="auto"/>
        <w:contextualSpacing/>
        <w:jc w:val="both"/>
      </w:pPr>
      <w:r>
        <w:rPr>
          <w:color w:val="000000"/>
        </w:rPr>
        <w:lastRenderedPageBreak/>
        <w:t xml:space="preserve">other </w:t>
      </w:r>
      <w:r w:rsidRPr="00626E37">
        <w:rPr>
          <w:color w:val="000000"/>
        </w:rPr>
        <w:t xml:space="preserve">victims of crime </w:t>
      </w:r>
      <w:r w:rsidRPr="000C16F5">
        <w:rPr>
          <w:color w:val="000000"/>
        </w:rPr>
        <w:t xml:space="preserve">for </w:t>
      </w:r>
      <w:r>
        <w:rPr>
          <w:color w:val="000000"/>
        </w:rPr>
        <w:t xml:space="preserve">recovering the </w:t>
      </w:r>
      <w:r w:rsidRPr="000C16F5">
        <w:rPr>
          <w:color w:val="000000"/>
        </w:rPr>
        <w:t>damages only</w:t>
      </w:r>
      <w:r w:rsidRPr="00626E37">
        <w:rPr>
          <w:color w:val="000000"/>
        </w:rPr>
        <w:t>;</w:t>
      </w:r>
    </w:p>
    <w:p w14:paraId="360CF916" w14:textId="77777777" w:rsidR="006C5CA1" w:rsidRPr="00626E37" w:rsidRDefault="006C5CA1" w:rsidP="006C5CA1">
      <w:pPr>
        <w:widowControl w:val="0"/>
        <w:numPr>
          <w:ilvl w:val="0"/>
          <w:numId w:val="7"/>
        </w:numPr>
        <w:spacing w:after="200" w:line="276" w:lineRule="auto"/>
        <w:contextualSpacing/>
        <w:jc w:val="both"/>
      </w:pPr>
      <w:r w:rsidRPr="00626E37">
        <w:rPr>
          <w:color w:val="000000"/>
        </w:rPr>
        <w:t>persons receiving social allowances;</w:t>
      </w:r>
    </w:p>
    <w:p w14:paraId="1105BAF5" w14:textId="77777777" w:rsidR="006C5CA1" w:rsidRPr="00626E37" w:rsidRDefault="006C5CA1" w:rsidP="006C5CA1">
      <w:pPr>
        <w:widowControl w:val="0"/>
        <w:numPr>
          <w:ilvl w:val="0"/>
          <w:numId w:val="7"/>
        </w:numPr>
        <w:spacing w:after="200" w:line="276" w:lineRule="auto"/>
        <w:contextualSpacing/>
        <w:jc w:val="both"/>
      </w:pPr>
      <w:r w:rsidRPr="00626E37">
        <w:rPr>
          <w:color w:val="000000"/>
        </w:rPr>
        <w:t>persons maintained in stationary care institutions;</w:t>
      </w:r>
    </w:p>
    <w:p w14:paraId="6EEE0442" w14:textId="77777777" w:rsidR="006C5CA1" w:rsidRPr="00626E37" w:rsidRDefault="006C5CA1" w:rsidP="006C5CA1">
      <w:pPr>
        <w:widowControl w:val="0"/>
        <w:numPr>
          <w:ilvl w:val="0"/>
          <w:numId w:val="7"/>
        </w:numPr>
        <w:spacing w:after="200" w:line="276" w:lineRule="auto"/>
        <w:contextualSpacing/>
        <w:jc w:val="both"/>
      </w:pPr>
      <w:r w:rsidRPr="00626E37">
        <w:rPr>
          <w:color w:val="000000"/>
        </w:rPr>
        <w:t xml:space="preserve">persons who have a severe disability or incapacity for work or </w:t>
      </w:r>
      <w:r>
        <w:rPr>
          <w:color w:val="000000"/>
        </w:rPr>
        <w:t>require special care</w:t>
      </w:r>
      <w:r w:rsidRPr="00626E37">
        <w:rPr>
          <w:color w:val="000000"/>
        </w:rPr>
        <w:t>;</w:t>
      </w:r>
    </w:p>
    <w:p w14:paraId="409B27B6" w14:textId="77777777" w:rsidR="006C5CA1" w:rsidRPr="00626E37" w:rsidRDefault="006C5CA1" w:rsidP="006C5CA1">
      <w:pPr>
        <w:widowControl w:val="0"/>
        <w:numPr>
          <w:ilvl w:val="0"/>
          <w:numId w:val="7"/>
        </w:numPr>
        <w:spacing w:after="200" w:line="276" w:lineRule="auto"/>
        <w:contextualSpacing/>
        <w:jc w:val="both"/>
      </w:pPr>
      <w:r w:rsidRPr="00626E37">
        <w:rPr>
          <w:color w:val="000000"/>
        </w:rPr>
        <w:t xml:space="preserve">persons who </w:t>
      </w:r>
      <w:r>
        <w:rPr>
          <w:color w:val="000000"/>
        </w:rPr>
        <w:t>have restrictions to use</w:t>
      </w:r>
      <w:r w:rsidRPr="00626E37">
        <w:rPr>
          <w:color w:val="000000"/>
        </w:rPr>
        <w:t xml:space="preserve"> their property and funds;</w:t>
      </w:r>
    </w:p>
    <w:p w14:paraId="28BBB395" w14:textId="77777777" w:rsidR="006C5CA1" w:rsidRPr="00626E37" w:rsidRDefault="006C5CA1" w:rsidP="006C5CA1">
      <w:pPr>
        <w:widowControl w:val="0"/>
        <w:numPr>
          <w:ilvl w:val="0"/>
          <w:numId w:val="7"/>
        </w:numPr>
        <w:spacing w:after="200" w:line="276" w:lineRule="auto"/>
        <w:contextualSpacing/>
        <w:jc w:val="both"/>
      </w:pPr>
      <w:r w:rsidRPr="00626E37">
        <w:rPr>
          <w:color w:val="000000"/>
        </w:rPr>
        <w:t xml:space="preserve">persons suffering from serious mental disorders and </w:t>
      </w:r>
      <w:r>
        <w:rPr>
          <w:color w:val="000000"/>
        </w:rPr>
        <w:t xml:space="preserve">persons who require </w:t>
      </w:r>
      <w:r w:rsidRPr="00626E37">
        <w:rPr>
          <w:bCs/>
        </w:rPr>
        <w:t>forced hospitalization</w:t>
      </w:r>
      <w:r w:rsidRPr="00626E37">
        <w:rPr>
          <w:color w:val="000000"/>
        </w:rPr>
        <w:t>;</w:t>
      </w:r>
      <w:r w:rsidRPr="00626E37">
        <w:rPr>
          <w:color w:val="FF0000"/>
        </w:rPr>
        <w:t xml:space="preserve"> </w:t>
      </w:r>
    </w:p>
    <w:p w14:paraId="0EE57813" w14:textId="77777777" w:rsidR="006C5CA1" w:rsidRPr="00626E37" w:rsidRDefault="006C5CA1" w:rsidP="006C5CA1">
      <w:pPr>
        <w:numPr>
          <w:ilvl w:val="0"/>
          <w:numId w:val="7"/>
        </w:numPr>
        <w:spacing w:after="0" w:line="276" w:lineRule="auto"/>
        <w:jc w:val="both"/>
      </w:pPr>
      <w:r w:rsidRPr="00626E37">
        <w:rPr>
          <w:bCs/>
        </w:rPr>
        <w:t>debtors in execution proceedings, when a recovery is levied against the last housing;</w:t>
      </w:r>
      <w:r w:rsidRPr="00626E37">
        <w:rPr>
          <w:color w:val="FF0000"/>
        </w:rPr>
        <w:t xml:space="preserve"> </w:t>
      </w:r>
    </w:p>
    <w:p w14:paraId="505A185B" w14:textId="77777777" w:rsidR="006C5CA1" w:rsidRPr="00341BFB" w:rsidRDefault="006C5CA1" w:rsidP="006C5CA1">
      <w:pPr>
        <w:numPr>
          <w:ilvl w:val="0"/>
          <w:numId w:val="7"/>
        </w:numPr>
        <w:spacing w:after="0" w:line="276" w:lineRule="auto"/>
        <w:jc w:val="both"/>
      </w:pPr>
      <w:r w:rsidRPr="00626E37">
        <w:rPr>
          <w:bCs/>
        </w:rPr>
        <w:t xml:space="preserve">parents of </w:t>
      </w:r>
      <w:r>
        <w:rPr>
          <w:bCs/>
        </w:rPr>
        <w:t xml:space="preserve">a </w:t>
      </w:r>
      <w:r w:rsidRPr="00626E37">
        <w:rPr>
          <w:bCs/>
        </w:rPr>
        <w:t xml:space="preserve">minor child, </w:t>
      </w:r>
      <w:r>
        <w:rPr>
          <w:bCs/>
        </w:rPr>
        <w:t>on</w:t>
      </w:r>
      <w:r w:rsidRPr="00626E37">
        <w:rPr>
          <w:bCs/>
        </w:rPr>
        <w:t xml:space="preserve"> the issue of </w:t>
      </w:r>
      <w:r w:rsidRPr="00341BFB">
        <w:rPr>
          <w:bCs/>
        </w:rPr>
        <w:t>the child’s eviction;</w:t>
      </w:r>
      <w:r w:rsidRPr="00341BFB">
        <w:t xml:space="preserve"> </w:t>
      </w:r>
    </w:p>
    <w:p w14:paraId="550D65C8" w14:textId="77777777" w:rsidR="006C5CA1" w:rsidRPr="00626E37" w:rsidRDefault="006C5CA1" w:rsidP="006C5CA1">
      <w:pPr>
        <w:widowControl w:val="0"/>
        <w:numPr>
          <w:ilvl w:val="0"/>
          <w:numId w:val="7"/>
        </w:numPr>
        <w:spacing w:after="200" w:line="276" w:lineRule="auto"/>
        <w:contextualSpacing/>
        <w:jc w:val="both"/>
      </w:pPr>
      <w:r w:rsidRPr="00626E37">
        <w:rPr>
          <w:color w:val="000000"/>
        </w:rPr>
        <w:t>minor</w:t>
      </w:r>
      <w:r>
        <w:rPr>
          <w:color w:val="000000"/>
        </w:rPr>
        <w:t>s</w:t>
      </w:r>
      <w:r w:rsidRPr="00626E37">
        <w:rPr>
          <w:color w:val="000000"/>
        </w:rPr>
        <w:t xml:space="preserve"> </w:t>
      </w:r>
      <w:r>
        <w:rPr>
          <w:color w:val="000000"/>
        </w:rPr>
        <w:t>defending their rights and interests without their parents or guardians</w:t>
      </w:r>
      <w:r w:rsidRPr="00626E37">
        <w:rPr>
          <w:color w:val="000000"/>
        </w:rPr>
        <w:t>;</w:t>
      </w:r>
      <w:r w:rsidRPr="00626E37">
        <w:rPr>
          <w:color w:val="FF0000"/>
        </w:rPr>
        <w:t xml:space="preserve"> </w:t>
      </w:r>
    </w:p>
    <w:p w14:paraId="5E9BC028" w14:textId="0DBC4E41" w:rsidR="009935A9" w:rsidRPr="00626E37" w:rsidRDefault="009935A9" w:rsidP="009935A9">
      <w:pPr>
        <w:widowControl w:val="0"/>
        <w:numPr>
          <w:ilvl w:val="0"/>
          <w:numId w:val="7"/>
        </w:numPr>
        <w:spacing w:after="200" w:line="276" w:lineRule="auto"/>
        <w:contextualSpacing/>
        <w:jc w:val="both"/>
      </w:pPr>
      <w:r w:rsidRPr="00626E37">
        <w:t>minors - victims of crime;</w:t>
      </w:r>
    </w:p>
    <w:p w14:paraId="6E223142" w14:textId="50E3F8CC" w:rsidR="009935A9" w:rsidRPr="00626E37" w:rsidRDefault="009935A9" w:rsidP="009935A9">
      <w:pPr>
        <w:numPr>
          <w:ilvl w:val="0"/>
          <w:numId w:val="7"/>
        </w:numPr>
        <w:spacing w:after="0" w:line="276" w:lineRule="auto"/>
        <w:jc w:val="both"/>
      </w:pPr>
      <w:r w:rsidRPr="00626E37">
        <w:rPr>
          <w:bCs/>
        </w:rPr>
        <w:t xml:space="preserve">persons who </w:t>
      </w:r>
      <w:r w:rsidR="009D1ADA">
        <w:rPr>
          <w:bCs/>
        </w:rPr>
        <w:t xml:space="preserve">are </w:t>
      </w:r>
      <w:r w:rsidRPr="00626E37">
        <w:rPr>
          <w:bCs/>
        </w:rPr>
        <w:t xml:space="preserve">requested to </w:t>
      </w:r>
      <w:r w:rsidR="009D1ADA">
        <w:rPr>
          <w:bCs/>
        </w:rPr>
        <w:t xml:space="preserve">be </w:t>
      </w:r>
      <w:r w:rsidRPr="00626E37">
        <w:rPr>
          <w:bCs/>
        </w:rPr>
        <w:t>recognize</w:t>
      </w:r>
      <w:r w:rsidR="009D1ADA">
        <w:rPr>
          <w:bCs/>
        </w:rPr>
        <w:t>d</w:t>
      </w:r>
      <w:r w:rsidRPr="00626E37">
        <w:rPr>
          <w:bCs/>
        </w:rPr>
        <w:t xml:space="preserve"> </w:t>
      </w:r>
      <w:r w:rsidR="009D1ADA">
        <w:rPr>
          <w:bCs/>
        </w:rPr>
        <w:t xml:space="preserve">as </w:t>
      </w:r>
      <w:r w:rsidRPr="00626E37">
        <w:rPr>
          <w:bCs/>
        </w:rPr>
        <w:t>legally incapable;</w:t>
      </w:r>
    </w:p>
    <w:p w14:paraId="30C89981" w14:textId="25EF7F5E" w:rsidR="009935A9" w:rsidRPr="006C5CA1" w:rsidRDefault="009935A9" w:rsidP="009935A9">
      <w:pPr>
        <w:numPr>
          <w:ilvl w:val="0"/>
          <w:numId w:val="7"/>
        </w:numPr>
        <w:spacing w:after="0" w:line="276" w:lineRule="auto"/>
        <w:jc w:val="both"/>
      </w:pPr>
      <w:r w:rsidRPr="00626E37">
        <w:rPr>
          <w:bCs/>
        </w:rPr>
        <w:t xml:space="preserve">persons </w:t>
      </w:r>
      <w:r w:rsidR="009D1ADA">
        <w:rPr>
          <w:bCs/>
        </w:rPr>
        <w:t>who</w:t>
      </w:r>
      <w:r w:rsidR="008A4851">
        <w:rPr>
          <w:bCs/>
        </w:rPr>
        <w:t xml:space="preserve">se birth can be </w:t>
      </w:r>
      <w:r w:rsidR="009D1ADA">
        <w:rPr>
          <w:bCs/>
        </w:rPr>
        <w:t>re</w:t>
      </w:r>
      <w:r w:rsidR="008A4851">
        <w:rPr>
          <w:bCs/>
        </w:rPr>
        <w:t>g</w:t>
      </w:r>
      <w:r w:rsidR="009D1ADA">
        <w:rPr>
          <w:bCs/>
        </w:rPr>
        <w:t>i</w:t>
      </w:r>
      <w:r w:rsidR="008A4851">
        <w:rPr>
          <w:bCs/>
        </w:rPr>
        <w:t>ste</w:t>
      </w:r>
      <w:r w:rsidR="009D1ADA">
        <w:rPr>
          <w:bCs/>
        </w:rPr>
        <w:t>re</w:t>
      </w:r>
      <w:r w:rsidR="008A4851">
        <w:rPr>
          <w:bCs/>
        </w:rPr>
        <w:t xml:space="preserve">d only upon the </w:t>
      </w:r>
      <w:r w:rsidR="009D1ADA">
        <w:rPr>
          <w:bCs/>
        </w:rPr>
        <w:t>decision of the court</w:t>
      </w:r>
      <w:r w:rsidRPr="00626E37">
        <w:rPr>
          <w:bCs/>
        </w:rPr>
        <w:t>;</w:t>
      </w:r>
      <w:r w:rsidRPr="00626E37">
        <w:rPr>
          <w:color w:val="FF0000"/>
        </w:rPr>
        <w:t xml:space="preserve"> </w:t>
      </w:r>
    </w:p>
    <w:p w14:paraId="20DBC0AF" w14:textId="49FE6882" w:rsidR="006C5CA1" w:rsidRDefault="006C5CA1" w:rsidP="009935A9">
      <w:pPr>
        <w:numPr>
          <w:ilvl w:val="0"/>
          <w:numId w:val="7"/>
        </w:numPr>
        <w:spacing w:after="0" w:line="276" w:lineRule="auto"/>
        <w:jc w:val="both"/>
      </w:pPr>
      <w:r w:rsidRPr="006C5CA1">
        <w:t>persons in child abduction cases</w:t>
      </w:r>
      <w:r>
        <w:t>;</w:t>
      </w:r>
    </w:p>
    <w:p w14:paraId="77076D92" w14:textId="546FB593" w:rsidR="00341BFB" w:rsidRDefault="00341BFB" w:rsidP="009935A9">
      <w:pPr>
        <w:numPr>
          <w:ilvl w:val="0"/>
          <w:numId w:val="7"/>
        </w:numPr>
        <w:spacing w:after="0" w:line="276" w:lineRule="auto"/>
        <w:jc w:val="both"/>
      </w:pPr>
      <w:r w:rsidRPr="00341BFB">
        <w:t>child's parents, when the court decides on the issues of restriction of parental rights</w:t>
      </w:r>
      <w:r>
        <w:t>;</w:t>
      </w:r>
    </w:p>
    <w:p w14:paraId="3958DB9E" w14:textId="2F04CE01" w:rsidR="00341BFB" w:rsidRDefault="00341BFB" w:rsidP="009935A9">
      <w:pPr>
        <w:numPr>
          <w:ilvl w:val="0"/>
          <w:numId w:val="7"/>
        </w:numPr>
        <w:spacing w:after="0" w:line="276" w:lineRule="auto"/>
        <w:jc w:val="both"/>
      </w:pPr>
      <w:r w:rsidRPr="00341BFB">
        <w:t>adoptive parents, guardians</w:t>
      </w:r>
      <w:r w:rsidR="005241E4">
        <w:t>,</w:t>
      </w:r>
      <w:r w:rsidRPr="00341BFB">
        <w:t xml:space="preserve"> or carers, when the court is deciding on issues of adoption, permanent custody</w:t>
      </w:r>
      <w:r w:rsidR="005241E4">
        <w:t>,</w:t>
      </w:r>
      <w:r w:rsidRPr="00341BFB">
        <w:t xml:space="preserve"> or care;</w:t>
      </w:r>
    </w:p>
    <w:p w14:paraId="1122380F" w14:textId="10FF5C88" w:rsidR="00341BFB" w:rsidRPr="00626E37" w:rsidRDefault="00341BFB" w:rsidP="009935A9">
      <w:pPr>
        <w:numPr>
          <w:ilvl w:val="0"/>
          <w:numId w:val="7"/>
        </w:numPr>
        <w:spacing w:after="0" w:line="276" w:lineRule="auto"/>
        <w:jc w:val="both"/>
      </w:pPr>
      <w:r w:rsidRPr="00341BFB">
        <w:t>whistle-blowers or their family members in cases where the issue of protecting their interests is considered;</w:t>
      </w:r>
    </w:p>
    <w:p w14:paraId="1AB5AC54" w14:textId="54C71A3B" w:rsidR="009935A9" w:rsidRPr="00626E37" w:rsidRDefault="009935A9" w:rsidP="009935A9">
      <w:pPr>
        <w:widowControl w:val="0"/>
        <w:numPr>
          <w:ilvl w:val="0"/>
          <w:numId w:val="7"/>
        </w:numPr>
        <w:spacing w:after="0" w:line="276" w:lineRule="auto"/>
        <w:contextualSpacing/>
        <w:jc w:val="both"/>
      </w:pPr>
      <w:r w:rsidRPr="00626E37">
        <w:rPr>
          <w:color w:val="000000"/>
        </w:rPr>
        <w:t xml:space="preserve">persons </w:t>
      </w:r>
      <w:r w:rsidR="008A4851">
        <w:rPr>
          <w:color w:val="000000"/>
        </w:rPr>
        <w:t xml:space="preserve">whose right to legal aid is defined by </w:t>
      </w:r>
      <w:r w:rsidRPr="00626E37">
        <w:rPr>
          <w:color w:val="000000"/>
        </w:rPr>
        <w:t>international treaties</w:t>
      </w:r>
      <w:r w:rsidR="008A4851">
        <w:rPr>
          <w:color w:val="000000"/>
        </w:rPr>
        <w:t>.</w:t>
      </w:r>
    </w:p>
    <w:p w14:paraId="5BB88A08" w14:textId="4E507040" w:rsidR="00694BAD" w:rsidRDefault="00694BAD" w:rsidP="009935A9">
      <w:pPr>
        <w:jc w:val="both"/>
        <w:rPr>
          <w:b/>
          <w:bCs/>
        </w:rPr>
      </w:pPr>
    </w:p>
    <w:p w14:paraId="38566FB3" w14:textId="14879EB1" w:rsidR="009935A9" w:rsidRPr="008A4851" w:rsidRDefault="008A4851" w:rsidP="009935A9">
      <w:pPr>
        <w:jc w:val="both"/>
        <w:rPr>
          <w:bCs/>
        </w:rPr>
      </w:pPr>
      <w:r w:rsidRPr="008A4851">
        <w:rPr>
          <w:bCs/>
        </w:rPr>
        <w:t>The p</w:t>
      </w:r>
      <w:r w:rsidR="009935A9" w:rsidRPr="008A4851">
        <w:rPr>
          <w:bCs/>
        </w:rPr>
        <w:t xml:space="preserve">resence of </w:t>
      </w:r>
      <w:r w:rsidRPr="008A4851">
        <w:rPr>
          <w:bCs/>
        </w:rPr>
        <w:t>the</w:t>
      </w:r>
      <w:r w:rsidR="009935A9" w:rsidRPr="008A4851">
        <w:rPr>
          <w:bCs/>
        </w:rPr>
        <w:t xml:space="preserve"> </w:t>
      </w:r>
      <w:proofErr w:type="spellStart"/>
      <w:r w:rsidR="009935A9" w:rsidRPr="008A4851">
        <w:rPr>
          <w:bCs/>
        </w:rPr>
        <w:t>defen</w:t>
      </w:r>
      <w:r>
        <w:rPr>
          <w:bCs/>
        </w:rPr>
        <w:t>s</w:t>
      </w:r>
      <w:r w:rsidR="009935A9" w:rsidRPr="008A4851">
        <w:rPr>
          <w:bCs/>
        </w:rPr>
        <w:t>e</w:t>
      </w:r>
      <w:proofErr w:type="spellEnd"/>
      <w:r w:rsidR="009935A9" w:rsidRPr="008A4851">
        <w:rPr>
          <w:bCs/>
        </w:rPr>
        <w:t xml:space="preserve"> lawyer is mandatory</w:t>
      </w:r>
      <w:r w:rsidR="00DE7FC7">
        <w:rPr>
          <w:rStyle w:val="FootnoteReference"/>
          <w:bCs/>
        </w:rPr>
        <w:footnoteReference w:id="36"/>
      </w:r>
      <w:r w:rsidR="009935A9" w:rsidRPr="008A4851">
        <w:rPr>
          <w:bCs/>
        </w:rPr>
        <w:t>:</w:t>
      </w:r>
    </w:p>
    <w:p w14:paraId="6707F047" w14:textId="77777777"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when a suspect or accused is minor;</w:t>
      </w:r>
    </w:p>
    <w:p w14:paraId="3699D439" w14:textId="1FF4A742"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 xml:space="preserve">when a suspect or accused </w:t>
      </w:r>
      <w:r w:rsidR="00B173CD">
        <w:rPr>
          <w:color w:val="000000"/>
        </w:rPr>
        <w:t xml:space="preserve">has a </w:t>
      </w:r>
      <w:r w:rsidRPr="00626E37">
        <w:rPr>
          <w:color w:val="000000"/>
        </w:rPr>
        <w:t>physical or mental disability;</w:t>
      </w:r>
    </w:p>
    <w:p w14:paraId="466F4EEC" w14:textId="23167B08"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 xml:space="preserve">when a suspect or accused does not know </w:t>
      </w:r>
      <w:r w:rsidR="00B173CD">
        <w:rPr>
          <w:color w:val="000000"/>
        </w:rPr>
        <w:t xml:space="preserve">the </w:t>
      </w:r>
      <w:r w:rsidRPr="00626E37">
        <w:rPr>
          <w:color w:val="000000"/>
        </w:rPr>
        <w:t>Lithuanian language;</w:t>
      </w:r>
    </w:p>
    <w:p w14:paraId="373380C3" w14:textId="09C10F26"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 xml:space="preserve">when </w:t>
      </w:r>
      <w:r w:rsidR="00893C00">
        <w:rPr>
          <w:color w:val="000000"/>
        </w:rPr>
        <w:t xml:space="preserve">interests of </w:t>
      </w:r>
      <w:r w:rsidR="00B173CD">
        <w:rPr>
          <w:color w:val="000000"/>
        </w:rPr>
        <w:t>s</w:t>
      </w:r>
      <w:r w:rsidRPr="00626E37">
        <w:rPr>
          <w:color w:val="000000"/>
        </w:rPr>
        <w:t>uspect</w:t>
      </w:r>
      <w:r w:rsidR="00893C00">
        <w:rPr>
          <w:color w:val="000000"/>
        </w:rPr>
        <w:t>s</w:t>
      </w:r>
      <w:r w:rsidRPr="00626E37">
        <w:rPr>
          <w:color w:val="000000"/>
        </w:rPr>
        <w:t xml:space="preserve"> or accused </w:t>
      </w:r>
      <w:r w:rsidR="00B173CD">
        <w:rPr>
          <w:color w:val="000000"/>
        </w:rPr>
        <w:t xml:space="preserve">in the </w:t>
      </w:r>
      <w:r w:rsidR="00893C00">
        <w:rPr>
          <w:color w:val="000000"/>
        </w:rPr>
        <w:t xml:space="preserve">same </w:t>
      </w:r>
      <w:r w:rsidR="00B173CD">
        <w:rPr>
          <w:color w:val="000000"/>
        </w:rPr>
        <w:t xml:space="preserve">proceeding </w:t>
      </w:r>
      <w:r w:rsidR="00893C00">
        <w:rPr>
          <w:color w:val="000000"/>
        </w:rPr>
        <w:t>are in conflict</w:t>
      </w:r>
      <w:r w:rsidR="00893C00" w:rsidRPr="00626E37">
        <w:rPr>
          <w:color w:val="000000"/>
        </w:rPr>
        <w:t xml:space="preserve"> </w:t>
      </w:r>
      <w:r w:rsidR="00893C00">
        <w:rPr>
          <w:color w:val="000000"/>
        </w:rPr>
        <w:t xml:space="preserve">and one of them has </w:t>
      </w:r>
      <w:r w:rsidRPr="00626E37">
        <w:rPr>
          <w:color w:val="000000"/>
        </w:rPr>
        <w:t>a lawyer;</w:t>
      </w:r>
    </w:p>
    <w:p w14:paraId="4DDF8830" w14:textId="3FAF21C3"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 xml:space="preserve">when </w:t>
      </w:r>
      <w:r w:rsidR="00893C00" w:rsidRPr="00626E37">
        <w:rPr>
          <w:color w:val="000000"/>
        </w:rPr>
        <w:t>a suspect</w:t>
      </w:r>
      <w:r w:rsidR="00893C00">
        <w:rPr>
          <w:color w:val="000000"/>
        </w:rPr>
        <w:t xml:space="preserve"> or </w:t>
      </w:r>
      <w:r w:rsidR="00893C00" w:rsidRPr="00626E37">
        <w:rPr>
          <w:color w:val="000000"/>
        </w:rPr>
        <w:t xml:space="preserve">accused </w:t>
      </w:r>
      <w:r w:rsidRPr="00626E37">
        <w:rPr>
          <w:color w:val="000000"/>
        </w:rPr>
        <w:t xml:space="preserve">might be sentenced </w:t>
      </w:r>
      <w:r w:rsidR="00893C00">
        <w:rPr>
          <w:color w:val="000000"/>
        </w:rPr>
        <w:t xml:space="preserve">to </w:t>
      </w:r>
      <w:r w:rsidRPr="00626E37">
        <w:rPr>
          <w:color w:val="000000"/>
        </w:rPr>
        <w:t>imprisonment for life;</w:t>
      </w:r>
    </w:p>
    <w:p w14:paraId="137880FE" w14:textId="0D1208E1"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 xml:space="preserve">when </w:t>
      </w:r>
      <w:r w:rsidR="00893C00" w:rsidRPr="00893C00">
        <w:rPr>
          <w:color w:val="000000"/>
        </w:rPr>
        <w:t>a suspect</w:t>
      </w:r>
      <w:r w:rsidR="00893C00">
        <w:rPr>
          <w:color w:val="000000"/>
        </w:rPr>
        <w:t xml:space="preserve">, </w:t>
      </w:r>
      <w:r w:rsidR="00893C00" w:rsidRPr="00893C00">
        <w:rPr>
          <w:color w:val="000000"/>
        </w:rPr>
        <w:t>accused</w:t>
      </w:r>
      <w:r w:rsidR="00893C00">
        <w:rPr>
          <w:color w:val="000000"/>
        </w:rPr>
        <w:t>,</w:t>
      </w:r>
      <w:r w:rsidR="00893C00" w:rsidRPr="00893C00">
        <w:rPr>
          <w:color w:val="000000"/>
        </w:rPr>
        <w:t xml:space="preserve"> </w:t>
      </w:r>
      <w:r w:rsidR="00893C00">
        <w:rPr>
          <w:color w:val="000000"/>
        </w:rPr>
        <w:t xml:space="preserve">or sentenced </w:t>
      </w:r>
      <w:r w:rsidRPr="00626E37">
        <w:rPr>
          <w:color w:val="000000"/>
        </w:rPr>
        <w:t>does not participate in the proce</w:t>
      </w:r>
      <w:r w:rsidR="00893C00">
        <w:rPr>
          <w:color w:val="000000"/>
        </w:rPr>
        <w:t>eding in person</w:t>
      </w:r>
      <w:r w:rsidRPr="00626E37">
        <w:rPr>
          <w:color w:val="000000"/>
        </w:rPr>
        <w:t>;</w:t>
      </w:r>
    </w:p>
    <w:p w14:paraId="10F944CD" w14:textId="6E9F3526"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 xml:space="preserve">when </w:t>
      </w:r>
      <w:r w:rsidR="003E11D0">
        <w:rPr>
          <w:color w:val="000000"/>
        </w:rPr>
        <w:t xml:space="preserve">the </w:t>
      </w:r>
      <w:r w:rsidRPr="00626E37">
        <w:rPr>
          <w:color w:val="000000"/>
        </w:rPr>
        <w:t>suspect or accused is arrested;</w:t>
      </w:r>
    </w:p>
    <w:p w14:paraId="45D12C9C" w14:textId="77777777"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in case of extradition;</w:t>
      </w:r>
    </w:p>
    <w:p w14:paraId="04A94919" w14:textId="77777777"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in the court “summary” process;</w:t>
      </w:r>
    </w:p>
    <w:p w14:paraId="6D65F130" w14:textId="77777777"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in the appeal proceedings;</w:t>
      </w:r>
    </w:p>
    <w:p w14:paraId="7AE2A59C" w14:textId="2F11BEDE" w:rsidR="009935A9" w:rsidRPr="00626E37" w:rsidRDefault="009935A9" w:rsidP="009935A9">
      <w:pPr>
        <w:widowControl w:val="0"/>
        <w:numPr>
          <w:ilvl w:val="0"/>
          <w:numId w:val="7"/>
        </w:numPr>
        <w:spacing w:after="200" w:line="276" w:lineRule="auto"/>
        <w:contextualSpacing/>
        <w:jc w:val="both"/>
        <w:rPr>
          <w:color w:val="000000"/>
        </w:rPr>
      </w:pPr>
      <w:r w:rsidRPr="00626E37">
        <w:rPr>
          <w:color w:val="000000"/>
        </w:rPr>
        <w:t>In other proceedings when justice require</w:t>
      </w:r>
      <w:r w:rsidR="003E11D0">
        <w:rPr>
          <w:color w:val="000000"/>
        </w:rPr>
        <w:t xml:space="preserve">s </w:t>
      </w:r>
      <w:r w:rsidRPr="00626E37">
        <w:rPr>
          <w:color w:val="000000"/>
        </w:rPr>
        <w:t>(</w:t>
      </w:r>
      <w:r w:rsidR="003E11D0">
        <w:rPr>
          <w:color w:val="000000"/>
        </w:rPr>
        <w:t xml:space="preserve">a </w:t>
      </w:r>
      <w:r w:rsidRPr="00626E37">
        <w:rPr>
          <w:color w:val="000000"/>
        </w:rPr>
        <w:t xml:space="preserve">decision is </w:t>
      </w:r>
      <w:r w:rsidR="003E11D0">
        <w:rPr>
          <w:color w:val="000000"/>
        </w:rPr>
        <w:t>at</w:t>
      </w:r>
      <w:r w:rsidRPr="00626E37">
        <w:rPr>
          <w:color w:val="000000"/>
        </w:rPr>
        <w:t xml:space="preserve"> </w:t>
      </w:r>
      <w:r w:rsidR="003E11D0">
        <w:rPr>
          <w:color w:val="000000"/>
        </w:rPr>
        <w:t xml:space="preserve">the </w:t>
      </w:r>
      <w:r w:rsidRPr="00626E37">
        <w:rPr>
          <w:color w:val="000000"/>
        </w:rPr>
        <w:t>judge</w:t>
      </w:r>
      <w:r w:rsidR="003E11D0">
        <w:rPr>
          <w:color w:val="000000"/>
        </w:rPr>
        <w:t>’s</w:t>
      </w:r>
      <w:r w:rsidRPr="00626E37">
        <w:rPr>
          <w:color w:val="000000"/>
        </w:rPr>
        <w:t xml:space="preserve"> discretion):</w:t>
      </w:r>
    </w:p>
    <w:p w14:paraId="288D4B17" w14:textId="77777777" w:rsidR="002D3F0E" w:rsidRPr="00626E37" w:rsidRDefault="002D3F0E" w:rsidP="002D3F0E">
      <w:pPr>
        <w:pStyle w:val="ListParagraph"/>
        <w:widowControl w:val="0"/>
        <w:numPr>
          <w:ilvl w:val="1"/>
          <w:numId w:val="7"/>
        </w:numPr>
        <w:tabs>
          <w:tab w:val="left" w:pos="1291"/>
        </w:tabs>
        <w:spacing w:after="0" w:line="276" w:lineRule="auto"/>
        <w:jc w:val="both"/>
      </w:pPr>
      <w:r w:rsidRPr="00626E37">
        <w:t xml:space="preserve">The criminal case is </w:t>
      </w:r>
      <w:r w:rsidRPr="00626E37">
        <w:rPr>
          <w:i/>
        </w:rPr>
        <w:t>difficult;</w:t>
      </w:r>
    </w:p>
    <w:p w14:paraId="4F8668F4" w14:textId="77777777" w:rsidR="002D3F0E" w:rsidRPr="00626E37" w:rsidRDefault="002D3F0E" w:rsidP="002D3F0E">
      <w:pPr>
        <w:pStyle w:val="ListParagraph"/>
        <w:widowControl w:val="0"/>
        <w:numPr>
          <w:ilvl w:val="1"/>
          <w:numId w:val="7"/>
        </w:numPr>
        <w:tabs>
          <w:tab w:val="left" w:pos="1291"/>
        </w:tabs>
        <w:spacing w:after="0" w:line="276" w:lineRule="auto"/>
        <w:jc w:val="both"/>
      </w:pPr>
      <w:r w:rsidRPr="00626E37">
        <w:t xml:space="preserve">The criminal case is </w:t>
      </w:r>
      <w:r w:rsidRPr="00626E37">
        <w:rPr>
          <w:i/>
        </w:rPr>
        <w:t>a large-scale</w:t>
      </w:r>
      <w:r w:rsidRPr="00626E37">
        <w:t>;</w:t>
      </w:r>
    </w:p>
    <w:p w14:paraId="727529EF" w14:textId="230D06A5" w:rsidR="002D3F0E" w:rsidRPr="00626E37" w:rsidRDefault="002D3F0E" w:rsidP="002D3F0E">
      <w:pPr>
        <w:pStyle w:val="ListParagraph"/>
        <w:widowControl w:val="0"/>
        <w:numPr>
          <w:ilvl w:val="1"/>
          <w:numId w:val="7"/>
        </w:numPr>
        <w:tabs>
          <w:tab w:val="left" w:pos="1291"/>
        </w:tabs>
        <w:spacing w:after="0" w:line="276" w:lineRule="auto"/>
        <w:jc w:val="both"/>
      </w:pPr>
      <w:r w:rsidRPr="00626E37">
        <w:t xml:space="preserve">A person </w:t>
      </w:r>
      <w:r w:rsidRPr="00626E37">
        <w:rPr>
          <w:i/>
        </w:rPr>
        <w:t xml:space="preserve">serving a sentence </w:t>
      </w:r>
      <w:r w:rsidRPr="00626E37">
        <w:t>in jail;</w:t>
      </w:r>
    </w:p>
    <w:p w14:paraId="13D6B91A" w14:textId="77777777" w:rsidR="002D3F0E" w:rsidRPr="00626E37" w:rsidRDefault="002D3F0E" w:rsidP="002D3F0E">
      <w:pPr>
        <w:pStyle w:val="ListParagraph"/>
        <w:widowControl w:val="0"/>
        <w:numPr>
          <w:ilvl w:val="1"/>
          <w:numId w:val="7"/>
        </w:numPr>
        <w:tabs>
          <w:tab w:val="left" w:pos="1291"/>
        </w:tabs>
        <w:spacing w:after="0" w:line="276" w:lineRule="auto"/>
        <w:jc w:val="both"/>
      </w:pPr>
      <w:r w:rsidRPr="00626E37">
        <w:t xml:space="preserve">A person is </w:t>
      </w:r>
      <w:r w:rsidRPr="00626E37">
        <w:rPr>
          <w:i/>
        </w:rPr>
        <w:t>low educated</w:t>
      </w:r>
      <w:r w:rsidRPr="00626E37">
        <w:t>;</w:t>
      </w:r>
    </w:p>
    <w:p w14:paraId="06379D5B" w14:textId="77777777" w:rsidR="008A6F5F" w:rsidRDefault="008A6F5F" w:rsidP="008A6F5F">
      <w:pPr>
        <w:jc w:val="both"/>
        <w:rPr>
          <w:b/>
          <w:bCs/>
        </w:rPr>
      </w:pPr>
    </w:p>
    <w:p w14:paraId="5AF2D144" w14:textId="03A397AA" w:rsidR="008A6F5F" w:rsidRPr="008A6F5F" w:rsidRDefault="008A6F5F" w:rsidP="008A6F5F">
      <w:pPr>
        <w:jc w:val="both"/>
        <w:rPr>
          <w:b/>
          <w:bCs/>
        </w:rPr>
      </w:pPr>
      <w:r w:rsidRPr="008A6F5F">
        <w:rPr>
          <w:b/>
          <w:bCs/>
        </w:rPr>
        <w:t>Merit test</w:t>
      </w:r>
    </w:p>
    <w:p w14:paraId="3053160A" w14:textId="5BC98F5E" w:rsidR="008A6F5F" w:rsidRPr="008A6F5F" w:rsidRDefault="00001E2E" w:rsidP="008A6F5F">
      <w:pPr>
        <w:jc w:val="both"/>
      </w:pPr>
      <w:r>
        <w:t>In addition to the</w:t>
      </w:r>
      <w:r w:rsidR="008A6F5F" w:rsidRPr="008A6F5F">
        <w:t xml:space="preserve"> means </w:t>
      </w:r>
      <w:r>
        <w:t>requirements, the requirements for merit tests have to be fulfilled as well. The</w:t>
      </w:r>
      <w:r w:rsidR="008A6F5F" w:rsidRPr="008A6F5F">
        <w:t xml:space="preserve"> </w:t>
      </w:r>
      <w:r>
        <w:t>s</w:t>
      </w:r>
      <w:r w:rsidR="008A6F5F" w:rsidRPr="008A6F5F">
        <w:t>econdary legal aid is not provided whe</w:t>
      </w:r>
      <w:r>
        <w:t>n</w:t>
      </w:r>
      <w:r w:rsidR="00B11AD1">
        <w:rPr>
          <w:rStyle w:val="FootnoteReference"/>
        </w:rPr>
        <w:footnoteReference w:id="37"/>
      </w:r>
      <w:r w:rsidR="008A6F5F" w:rsidRPr="008A6F5F">
        <w:t>:</w:t>
      </w:r>
    </w:p>
    <w:p w14:paraId="7E814C87" w14:textId="2CF9AB49" w:rsidR="008A6F5F" w:rsidRPr="00BD53AE" w:rsidRDefault="00BD53AE" w:rsidP="00FC6DFE">
      <w:pPr>
        <w:pStyle w:val="ListParagraph"/>
        <w:numPr>
          <w:ilvl w:val="0"/>
          <w:numId w:val="14"/>
        </w:numPr>
        <w:jc w:val="both"/>
      </w:pPr>
      <w:r>
        <w:lastRenderedPageBreak/>
        <w:t>t</w:t>
      </w:r>
      <w:r w:rsidR="00597AE9" w:rsidRPr="00BD53AE">
        <w:t xml:space="preserve">he </w:t>
      </w:r>
      <w:r w:rsidR="008A6F5F" w:rsidRPr="00BD53AE">
        <w:t xml:space="preserve">claim </w:t>
      </w:r>
      <w:r w:rsidR="00C448EB" w:rsidRPr="00BD53AE">
        <w:t>is</w:t>
      </w:r>
      <w:r w:rsidR="008A6F5F" w:rsidRPr="00BD53AE">
        <w:t xml:space="preserve"> manifestly unfounded (</w:t>
      </w:r>
      <w:r w:rsidR="003F2ABB" w:rsidRPr="00BD53AE">
        <w:t>Does not apply in the case</w:t>
      </w:r>
      <w:r w:rsidR="00FC6DFE" w:rsidRPr="00BD53AE">
        <w:t>s</w:t>
      </w:r>
      <w:r w:rsidR="003F2ABB" w:rsidRPr="00BD53AE">
        <w:t xml:space="preserve"> of administrative offenses when a person who is held administratively liable requests legal aid</w:t>
      </w:r>
      <w:r w:rsidR="00FC6DFE" w:rsidRPr="00BD53AE">
        <w:t xml:space="preserve">, and </w:t>
      </w:r>
      <w:r w:rsidR="00890C2F" w:rsidRPr="00BD53AE">
        <w:t>in criminal case</w:t>
      </w:r>
      <w:r w:rsidR="00FC6DFE" w:rsidRPr="00BD53AE">
        <w:t>s</w:t>
      </w:r>
      <w:r w:rsidR="00890C2F" w:rsidRPr="00BD53AE">
        <w:t xml:space="preserve">, </w:t>
      </w:r>
      <w:r w:rsidR="005241E4">
        <w:t>except</w:t>
      </w:r>
      <w:r w:rsidR="00890C2F" w:rsidRPr="00BD53AE">
        <w:t xml:space="preserve"> requests for renewal of the process when the statute of limitations has expired</w:t>
      </w:r>
      <w:r w:rsidR="008A6F5F" w:rsidRPr="00BD53AE">
        <w:t>)</w:t>
      </w:r>
      <w:r>
        <w:t>;</w:t>
      </w:r>
    </w:p>
    <w:p w14:paraId="1C75DAF9" w14:textId="6A7579C7" w:rsidR="00001E2E" w:rsidRPr="008A6F5F" w:rsidRDefault="00597AE9" w:rsidP="00FC6DFE">
      <w:pPr>
        <w:pStyle w:val="ListParagraph"/>
        <w:numPr>
          <w:ilvl w:val="0"/>
          <w:numId w:val="14"/>
        </w:numPr>
        <w:jc w:val="both"/>
      </w:pPr>
      <w:r w:rsidRPr="00BD53AE">
        <w:t xml:space="preserve">The </w:t>
      </w:r>
      <w:r w:rsidR="008A6F5F" w:rsidRPr="00BD53AE">
        <w:t>representation</w:t>
      </w:r>
      <w:r w:rsidR="008A6F5F" w:rsidRPr="008A6F5F">
        <w:t xml:space="preserve"> has no reasonable prospects of success </w:t>
      </w:r>
      <w:r w:rsidR="00FC6DFE" w:rsidRPr="00FC6DFE">
        <w:t xml:space="preserve">(Does not apply in the cases of administrative offenses when a person who is held administratively liable requests legal aid, and in criminal cases, </w:t>
      </w:r>
      <w:r w:rsidR="005241E4">
        <w:t>except</w:t>
      </w:r>
      <w:r w:rsidR="00FC6DFE" w:rsidRPr="00FC6DFE">
        <w:t xml:space="preserve"> requests for renewal of the process when the statute of limitations has expired);</w:t>
      </w:r>
    </w:p>
    <w:p w14:paraId="63152BD7" w14:textId="410D07FB" w:rsidR="008A6F5F" w:rsidRPr="00BD53AE" w:rsidRDefault="00C448EB" w:rsidP="00FC6DFE">
      <w:pPr>
        <w:pStyle w:val="ListParagraph"/>
        <w:numPr>
          <w:ilvl w:val="0"/>
          <w:numId w:val="14"/>
        </w:numPr>
        <w:jc w:val="both"/>
      </w:pPr>
      <w:r w:rsidRPr="00BD53AE">
        <w:t xml:space="preserve">the </w:t>
      </w:r>
      <w:r w:rsidR="008A6F5F" w:rsidRPr="00BD53AE">
        <w:t xml:space="preserve">claim </w:t>
      </w:r>
      <w:r w:rsidRPr="00BD53AE">
        <w:t xml:space="preserve">is for the </w:t>
      </w:r>
      <w:r w:rsidR="008A6F5F" w:rsidRPr="00BD53AE">
        <w:t>protect</w:t>
      </w:r>
      <w:r w:rsidRPr="00BD53AE">
        <w:t>ion of</w:t>
      </w:r>
      <w:r w:rsidR="008A6F5F" w:rsidRPr="00BD53AE">
        <w:t xml:space="preserve"> </w:t>
      </w:r>
      <w:proofErr w:type="spellStart"/>
      <w:r w:rsidR="00E27E49" w:rsidRPr="00BD53AE">
        <w:t>honor</w:t>
      </w:r>
      <w:proofErr w:type="spellEnd"/>
      <w:r w:rsidR="008A6F5F" w:rsidRPr="00BD53AE">
        <w:t xml:space="preserve"> and dignity</w:t>
      </w:r>
      <w:r w:rsidRPr="00BD53AE">
        <w:t xml:space="preserve"> without </w:t>
      </w:r>
      <w:r w:rsidR="008A6F5F" w:rsidRPr="00BD53AE">
        <w:t>material damage</w:t>
      </w:r>
      <w:r w:rsidR="00FC6DFE" w:rsidRPr="00BD53AE">
        <w:t xml:space="preserve"> </w:t>
      </w:r>
      <w:r w:rsidR="00FC6DFE" w:rsidRPr="00BD53AE">
        <w:rPr>
          <w:sz w:val="20"/>
          <w:szCs w:val="20"/>
        </w:rPr>
        <w:t xml:space="preserve">(Does not apply in the cases of administrative offenses when a person who is held administratively liable requests legal aid, and in criminal cases, </w:t>
      </w:r>
      <w:r w:rsidR="005241E4">
        <w:rPr>
          <w:sz w:val="20"/>
          <w:szCs w:val="20"/>
        </w:rPr>
        <w:t>except</w:t>
      </w:r>
      <w:r w:rsidR="00FC6DFE" w:rsidRPr="00BD53AE">
        <w:rPr>
          <w:sz w:val="20"/>
          <w:szCs w:val="20"/>
        </w:rPr>
        <w:t xml:space="preserve"> requests for renewal of the process when the statute of limitations has expired);</w:t>
      </w:r>
    </w:p>
    <w:p w14:paraId="3E3FBB5C" w14:textId="4361357B" w:rsidR="008A6F5F" w:rsidRPr="008A6F5F" w:rsidRDefault="008A6F5F" w:rsidP="00FC6DFE">
      <w:pPr>
        <w:pStyle w:val="ListParagraph"/>
        <w:numPr>
          <w:ilvl w:val="0"/>
          <w:numId w:val="14"/>
        </w:numPr>
        <w:jc w:val="both"/>
      </w:pPr>
      <w:r w:rsidRPr="00BD53AE">
        <w:t xml:space="preserve">the claim </w:t>
      </w:r>
      <w:r w:rsidR="00C448EB" w:rsidRPr="00BD53AE">
        <w:t>is</w:t>
      </w:r>
      <w:r w:rsidR="00C448EB">
        <w:t xml:space="preserve"> in </w:t>
      </w:r>
      <w:r w:rsidRPr="008A6F5F">
        <w:t>direct</w:t>
      </w:r>
      <w:r w:rsidR="00C448EB">
        <w:t xml:space="preserve"> </w:t>
      </w:r>
      <w:r w:rsidRPr="008A6F5F">
        <w:t>relation to the applicant’s commercial activity or self-employ</w:t>
      </w:r>
      <w:r w:rsidR="00C448EB">
        <w:t>ment</w:t>
      </w:r>
      <w:r w:rsidR="00FC6DFE">
        <w:t xml:space="preserve"> </w:t>
      </w:r>
      <w:r w:rsidR="00FC6DFE" w:rsidRPr="00FC6DFE">
        <w:t xml:space="preserve">(Does not apply in the cases of administrative offenses when a person who is held administratively liable requests legal aid, and in criminal cases, </w:t>
      </w:r>
      <w:r w:rsidR="005241E4">
        <w:t>except</w:t>
      </w:r>
      <w:r w:rsidR="00FC6DFE" w:rsidRPr="00FC6DFE">
        <w:t xml:space="preserve"> requests for renewal of the process when the statute of limitations has expired);</w:t>
      </w:r>
    </w:p>
    <w:p w14:paraId="72CABCD2" w14:textId="22A0DF20" w:rsidR="00F67993" w:rsidRDefault="00F67993" w:rsidP="00FC6DFE">
      <w:pPr>
        <w:pStyle w:val="ListParagraph"/>
        <w:numPr>
          <w:ilvl w:val="0"/>
          <w:numId w:val="14"/>
        </w:numPr>
        <w:jc w:val="both"/>
      </w:pPr>
      <w:r w:rsidRPr="00F67993">
        <w:t>the applicant can receive the necessary legal services without addressing state-funded legal aid;</w:t>
      </w:r>
    </w:p>
    <w:p w14:paraId="2E03939C" w14:textId="73327BF8" w:rsidR="008A6F5F" w:rsidRPr="008A6F5F" w:rsidRDefault="008A6F5F" w:rsidP="00FC6DFE">
      <w:pPr>
        <w:pStyle w:val="ListParagraph"/>
        <w:numPr>
          <w:ilvl w:val="0"/>
          <w:numId w:val="14"/>
        </w:numPr>
        <w:jc w:val="both"/>
      </w:pPr>
      <w:r w:rsidRPr="008A6F5F">
        <w:t>the applicant seek</w:t>
      </w:r>
      <w:r w:rsidR="00C448EB">
        <w:t>s</w:t>
      </w:r>
      <w:r w:rsidRPr="008A6F5F">
        <w:t xml:space="preserve"> to protect somebody’s else rights (exception </w:t>
      </w:r>
      <w:r w:rsidR="00C448EB">
        <w:t xml:space="preserve">is for </w:t>
      </w:r>
      <w:r w:rsidRPr="008A6F5F">
        <w:t>legal representation);</w:t>
      </w:r>
    </w:p>
    <w:p w14:paraId="5A42A3AF" w14:textId="74191B3B" w:rsidR="008A6F5F" w:rsidRPr="008A6F5F" w:rsidRDefault="008A6F5F" w:rsidP="00FC6DFE">
      <w:pPr>
        <w:pStyle w:val="ListParagraph"/>
        <w:numPr>
          <w:ilvl w:val="0"/>
          <w:numId w:val="14"/>
        </w:numPr>
        <w:jc w:val="both"/>
      </w:pPr>
      <w:r w:rsidRPr="008A6F5F">
        <w:t xml:space="preserve">the claim </w:t>
      </w:r>
      <w:r w:rsidR="00C448EB">
        <w:t>has been transfer</w:t>
      </w:r>
      <w:r w:rsidR="00E27E49">
        <w:t>r</w:t>
      </w:r>
      <w:r w:rsidR="00C448EB">
        <w:t xml:space="preserve">ed to the applicant by </w:t>
      </w:r>
      <w:r w:rsidR="00E27E49">
        <w:t>an</w:t>
      </w:r>
      <w:r w:rsidR="00C448EB">
        <w:t xml:space="preserve">other person </w:t>
      </w:r>
      <w:r w:rsidR="00E27E49">
        <w:t xml:space="preserve">to </w:t>
      </w:r>
      <w:proofErr w:type="spellStart"/>
      <w:r w:rsidR="00E27E49">
        <w:t>fulfill</w:t>
      </w:r>
      <w:proofErr w:type="spellEnd"/>
      <w:r w:rsidR="00E27E49">
        <w:t xml:space="preserve"> the requirements for state-funded </w:t>
      </w:r>
      <w:r w:rsidRPr="008A6F5F">
        <w:t>legal aid;</w:t>
      </w:r>
    </w:p>
    <w:p w14:paraId="498E4C83" w14:textId="31BAC5D8" w:rsidR="008A6F5F" w:rsidRPr="008A6F5F" w:rsidRDefault="008A6F5F" w:rsidP="00FC6DFE">
      <w:pPr>
        <w:pStyle w:val="ListParagraph"/>
        <w:numPr>
          <w:ilvl w:val="0"/>
          <w:numId w:val="14"/>
        </w:numPr>
        <w:jc w:val="both"/>
      </w:pPr>
      <w:r w:rsidRPr="008A6F5F">
        <w:t>t</w:t>
      </w:r>
      <w:r w:rsidR="00E27E49">
        <w:t xml:space="preserve">he applicant </w:t>
      </w:r>
      <w:r w:rsidRPr="008A6F5F">
        <w:t>abuse</w:t>
      </w:r>
      <w:r w:rsidR="00E27E49">
        <w:t xml:space="preserve">s </w:t>
      </w:r>
      <w:r w:rsidRPr="008A6F5F">
        <w:t xml:space="preserve">the right to </w:t>
      </w:r>
      <w:r w:rsidR="00E27E49">
        <w:t xml:space="preserve">state-funded </w:t>
      </w:r>
      <w:r w:rsidRPr="008A6F5F">
        <w:t>legal aid;</w:t>
      </w:r>
    </w:p>
    <w:p w14:paraId="731A128E" w14:textId="3904045C" w:rsidR="008A6F5F" w:rsidRPr="00BD53AE" w:rsidRDefault="00E27E49" w:rsidP="00FC6DFE">
      <w:pPr>
        <w:pStyle w:val="ListParagraph"/>
        <w:numPr>
          <w:ilvl w:val="0"/>
          <w:numId w:val="14"/>
        </w:numPr>
        <w:jc w:val="both"/>
      </w:pPr>
      <w:r w:rsidRPr="00BD53AE">
        <w:t>t</w:t>
      </w:r>
      <w:r w:rsidR="008A6F5F" w:rsidRPr="00BD53AE">
        <w:t xml:space="preserve">he applicant </w:t>
      </w:r>
      <w:r w:rsidRPr="00BD53AE">
        <w:t xml:space="preserve">refuses </w:t>
      </w:r>
      <w:r w:rsidR="008A6F5F" w:rsidRPr="00BD53AE">
        <w:t>to cover 50</w:t>
      </w:r>
      <w:r w:rsidRPr="00BD53AE">
        <w:t xml:space="preserve"> percent, </w:t>
      </w:r>
      <w:r w:rsidR="00935037" w:rsidRPr="00BD53AE">
        <w:rPr>
          <w:lang w:val="en-US"/>
        </w:rPr>
        <w:t xml:space="preserve">70 </w:t>
      </w:r>
      <w:r w:rsidRPr="00BD53AE">
        <w:rPr>
          <w:lang w:val="en-US"/>
        </w:rPr>
        <w:t xml:space="preserve">percent, </w:t>
      </w:r>
      <w:r w:rsidR="008A6F5F" w:rsidRPr="00BD53AE">
        <w:t xml:space="preserve">or </w:t>
      </w:r>
      <w:r w:rsidR="00935037" w:rsidRPr="00BD53AE">
        <w:t>8</w:t>
      </w:r>
      <w:r w:rsidR="008A6F5F" w:rsidRPr="00BD53AE">
        <w:t xml:space="preserve">5 percent of the costs of </w:t>
      </w:r>
      <w:r w:rsidR="00073371" w:rsidRPr="00BD53AE">
        <w:t xml:space="preserve">the </w:t>
      </w:r>
      <w:r w:rsidRPr="00BD53AE">
        <w:t>state-funded</w:t>
      </w:r>
      <w:r w:rsidR="008A6F5F" w:rsidRPr="00BD53AE">
        <w:t xml:space="preserve"> legal aid</w:t>
      </w:r>
      <w:r w:rsidRPr="00BD53AE">
        <w:t xml:space="preserve"> when this is required after an assessment of the applicant’s wealth</w:t>
      </w:r>
      <w:r w:rsidR="008A6F5F" w:rsidRPr="00BD53AE">
        <w:t>;</w:t>
      </w:r>
    </w:p>
    <w:p w14:paraId="4A46D10A" w14:textId="5FC238A5" w:rsidR="008A6F5F" w:rsidRPr="008A6F5F" w:rsidRDefault="00BD53AE" w:rsidP="00FC6DFE">
      <w:pPr>
        <w:pStyle w:val="ListParagraph"/>
        <w:numPr>
          <w:ilvl w:val="0"/>
          <w:numId w:val="14"/>
        </w:numPr>
        <w:jc w:val="both"/>
      </w:pPr>
      <w:r w:rsidRPr="00BD53AE">
        <w:t xml:space="preserve">the </w:t>
      </w:r>
      <w:r w:rsidR="008A6F5F" w:rsidRPr="00BD53AE">
        <w:t>costs of legal aid would exceed the amount of the applicant’s pecuniary claims (pecuniary interests)</w:t>
      </w:r>
      <w:r w:rsidR="00FC6DFE" w:rsidRPr="00BD53AE">
        <w:t xml:space="preserve"> (Does not</w:t>
      </w:r>
      <w:r w:rsidR="00FC6DFE" w:rsidRPr="00FC6DFE">
        <w:t xml:space="preserve"> apply in the cases of administrative offenses when a person who is held administratively liable requests legal aid, and in criminal cases, </w:t>
      </w:r>
      <w:r w:rsidR="005241E4">
        <w:t>except</w:t>
      </w:r>
      <w:r w:rsidR="00FC6DFE" w:rsidRPr="00FC6DFE">
        <w:t xml:space="preserve"> requests for renewal of the process when the statute of limitations has expired);</w:t>
      </w:r>
    </w:p>
    <w:p w14:paraId="19CE456D" w14:textId="5A75F8E2" w:rsidR="008A6F5F" w:rsidRPr="008A6F5F" w:rsidRDefault="00E27E49" w:rsidP="00FC6DFE">
      <w:pPr>
        <w:pStyle w:val="ListParagraph"/>
        <w:numPr>
          <w:ilvl w:val="0"/>
          <w:numId w:val="14"/>
        </w:numPr>
        <w:jc w:val="both"/>
      </w:pPr>
      <w:r w:rsidRPr="003F2ABB">
        <w:t xml:space="preserve">the </w:t>
      </w:r>
      <w:r w:rsidR="008A6F5F" w:rsidRPr="003F2ABB">
        <w:t>applicant</w:t>
      </w:r>
      <w:r w:rsidR="008A6F5F" w:rsidRPr="008A6F5F">
        <w:t xml:space="preserve"> has </w:t>
      </w:r>
      <w:r>
        <w:t>not</w:t>
      </w:r>
      <w:r w:rsidR="008A6F5F" w:rsidRPr="008A6F5F">
        <w:t xml:space="preserve"> </w:t>
      </w:r>
      <w:r w:rsidRPr="008A6F5F">
        <w:t>pai</w:t>
      </w:r>
      <w:r>
        <w:t>d</w:t>
      </w:r>
      <w:r w:rsidR="008A6F5F" w:rsidRPr="008A6F5F">
        <w:t xml:space="preserve"> the costs of secondary legal aid </w:t>
      </w:r>
      <w:r w:rsidR="00073371">
        <w:t>received</w:t>
      </w:r>
      <w:r w:rsidR="008A6F5F" w:rsidRPr="008A6F5F">
        <w:t xml:space="preserve"> in </w:t>
      </w:r>
      <w:r>
        <w:t>an</w:t>
      </w:r>
      <w:r w:rsidR="008A6F5F" w:rsidRPr="008A6F5F">
        <w:t>other case</w:t>
      </w:r>
      <w:r w:rsidR="00890C2F">
        <w:t xml:space="preserve"> (</w:t>
      </w:r>
      <w:r w:rsidR="00890C2F" w:rsidRPr="00890C2F">
        <w:t>Does not apply in criminal cases</w:t>
      </w:r>
      <w:r w:rsidR="00890C2F">
        <w:t>)</w:t>
      </w:r>
      <w:r w:rsidR="00A37396">
        <w:t>;</w:t>
      </w:r>
    </w:p>
    <w:p w14:paraId="194A2371" w14:textId="614E1397" w:rsidR="008A6F5F" w:rsidRPr="008A6F5F" w:rsidRDefault="00073371" w:rsidP="00FC6DFE">
      <w:pPr>
        <w:pStyle w:val="ListParagraph"/>
        <w:numPr>
          <w:ilvl w:val="0"/>
          <w:numId w:val="14"/>
        </w:numPr>
        <w:jc w:val="both"/>
      </w:pPr>
      <w:r>
        <w:t xml:space="preserve">the </w:t>
      </w:r>
      <w:r w:rsidR="008A6F5F" w:rsidRPr="008A6F5F">
        <w:t xml:space="preserve">applicant </w:t>
      </w:r>
      <w:r w:rsidR="00935037">
        <w:t>c</w:t>
      </w:r>
      <w:r>
        <w:t>an</w:t>
      </w:r>
      <w:r w:rsidR="00935037">
        <w:t xml:space="preserve"> represent himself </w:t>
      </w:r>
      <w:r w:rsidR="008A6F5F" w:rsidRPr="008A6F5F">
        <w:t>or defend his rights or interests</w:t>
      </w:r>
      <w:r>
        <w:t xml:space="preserve"> not addressing the state-funded legal aid</w:t>
      </w:r>
      <w:r w:rsidR="008A6F5F" w:rsidRPr="008A6F5F">
        <w:t>;</w:t>
      </w:r>
    </w:p>
    <w:p w14:paraId="11D1C121" w14:textId="6D65F7B6" w:rsidR="008A6F5F" w:rsidRDefault="00073371" w:rsidP="00FC6DFE">
      <w:pPr>
        <w:pStyle w:val="ListParagraph"/>
        <w:numPr>
          <w:ilvl w:val="0"/>
          <w:numId w:val="14"/>
        </w:numPr>
        <w:jc w:val="both"/>
      </w:pPr>
      <w:r>
        <w:t xml:space="preserve">the </w:t>
      </w:r>
      <w:r w:rsidR="008A6F5F" w:rsidRPr="008A6F5F">
        <w:t xml:space="preserve">applicant </w:t>
      </w:r>
      <w:r w:rsidR="00B11AD1" w:rsidRPr="00B11AD1">
        <w:t xml:space="preserve">did not submit all the necessary documents to </w:t>
      </w:r>
      <w:r w:rsidR="00B11AD1">
        <w:t>the SGLAS</w:t>
      </w:r>
      <w:r w:rsidR="008A6F5F" w:rsidRPr="008A6F5F">
        <w:t>;</w:t>
      </w:r>
    </w:p>
    <w:p w14:paraId="7E8564BA" w14:textId="3BEB1305" w:rsidR="00B11AD1" w:rsidRPr="008A6F5F" w:rsidRDefault="00597AE9" w:rsidP="00FC6DFE">
      <w:pPr>
        <w:pStyle w:val="ListParagraph"/>
        <w:numPr>
          <w:ilvl w:val="0"/>
          <w:numId w:val="14"/>
        </w:numPr>
        <w:jc w:val="both"/>
      </w:pPr>
      <w:r w:rsidRPr="00597AE9">
        <w:t>the dispute is currently being resolved in mediation or the applicant has not submitted the mediation settlement agreement to the court for approval;</w:t>
      </w:r>
    </w:p>
    <w:p w14:paraId="36EABF51" w14:textId="722070FB" w:rsidR="008A6F5F" w:rsidRPr="008A6F5F" w:rsidRDefault="008A6F5F" w:rsidP="00FC6DFE">
      <w:pPr>
        <w:pStyle w:val="ListParagraph"/>
        <w:numPr>
          <w:ilvl w:val="0"/>
          <w:numId w:val="14"/>
        </w:numPr>
        <w:jc w:val="both"/>
      </w:pPr>
      <w:r w:rsidRPr="008A6F5F">
        <w:t>the applicant needs legal aid in a bankruptcy case.</w:t>
      </w:r>
    </w:p>
    <w:p w14:paraId="7EEF2B20" w14:textId="1DC0D190" w:rsidR="009935A9" w:rsidRDefault="008A6F5F" w:rsidP="008A6F5F">
      <w:pPr>
        <w:jc w:val="both"/>
      </w:pPr>
      <w:r w:rsidRPr="008A6F5F">
        <w:t xml:space="preserve">The meaning of “claim is manifestly unfounded” or “representation has no reasonable prospects of success” is not defined in the Law. </w:t>
      </w:r>
      <w:r w:rsidR="00073371">
        <w:t xml:space="preserve">The meaning is clarified by the </w:t>
      </w:r>
      <w:r w:rsidRPr="008A6F5F">
        <w:t xml:space="preserve">courts.  </w:t>
      </w:r>
      <w:r w:rsidR="00A37396">
        <w:t xml:space="preserve">The </w:t>
      </w:r>
      <w:r w:rsidRPr="008A6F5F">
        <w:t xml:space="preserve">SGLAS can refuse to provide legal aid when </w:t>
      </w:r>
      <w:r w:rsidR="00073371" w:rsidRPr="008A6F5F">
        <w:t xml:space="preserve">without any doubt </w:t>
      </w:r>
      <w:r w:rsidR="00073371">
        <w:t xml:space="preserve">the </w:t>
      </w:r>
      <w:r w:rsidRPr="008A6F5F">
        <w:t xml:space="preserve">claim in court does not have any chance </w:t>
      </w:r>
      <w:r w:rsidR="00073371">
        <w:t xml:space="preserve">of </w:t>
      </w:r>
      <w:r w:rsidRPr="008A6F5F">
        <w:t xml:space="preserve">success. For example, </w:t>
      </w:r>
      <w:r w:rsidR="00073371">
        <w:t xml:space="preserve">the </w:t>
      </w:r>
      <w:r w:rsidR="00073371" w:rsidRPr="008A6F5F">
        <w:t>cour</w:t>
      </w:r>
      <w:r w:rsidR="00073371">
        <w:t>t</w:t>
      </w:r>
      <w:r w:rsidR="00D675F0">
        <w:t>s</w:t>
      </w:r>
      <w:r w:rsidR="00073371">
        <w:t xml:space="preserve"> ha</w:t>
      </w:r>
      <w:r w:rsidR="00D675F0">
        <w:t>ve</w:t>
      </w:r>
      <w:r w:rsidR="00073371">
        <w:t xml:space="preserve"> </w:t>
      </w:r>
      <w:r w:rsidR="00D675F0">
        <w:t xml:space="preserve">already </w:t>
      </w:r>
      <w:r w:rsidR="00073371">
        <w:t>made a</w:t>
      </w:r>
      <w:r w:rsidRPr="008A6F5F">
        <w:t xml:space="preserve"> final decision</w:t>
      </w:r>
      <w:r w:rsidR="00D675F0">
        <w:t xml:space="preserve"> on the matter. </w:t>
      </w:r>
    </w:p>
    <w:p w14:paraId="24A00887" w14:textId="3430FBB7" w:rsidR="00F67993" w:rsidRPr="002D056D" w:rsidRDefault="00F67993" w:rsidP="00F67993">
      <w:pPr>
        <w:spacing w:before="240"/>
        <w:jc w:val="both"/>
      </w:pPr>
      <w:r w:rsidRPr="00F67993">
        <w:t>When SGLAS refused to provide legal aid according to points 3, 4, 5, 11, 1</w:t>
      </w:r>
      <w:r>
        <w:rPr>
          <w:rFonts w:hint="eastAsia"/>
          <w:lang w:eastAsia="ko-KR"/>
        </w:rPr>
        <w:t>4</w:t>
      </w:r>
      <w:r>
        <w:rPr>
          <w:lang w:eastAsia="ko-KR"/>
        </w:rPr>
        <w:t>,</w:t>
      </w:r>
      <w:r w:rsidRPr="00F67993">
        <w:t xml:space="preserve"> and 1</w:t>
      </w:r>
      <w:r>
        <w:t>5</w:t>
      </w:r>
      <w:r w:rsidRPr="00F67993">
        <w:t>, the applicant can request an additional assessment of his situation.</w:t>
      </w:r>
      <w:r>
        <w:t xml:space="preserve"> </w:t>
      </w:r>
      <w:r w:rsidRPr="002D056D">
        <w:t xml:space="preserve">SGLAS makes </w:t>
      </w:r>
      <w:r>
        <w:t xml:space="preserve">an </w:t>
      </w:r>
      <w:r w:rsidRPr="002D056D">
        <w:t>a</w:t>
      </w:r>
      <w:r>
        <w:t xml:space="preserve">ssessment </w:t>
      </w:r>
      <w:r w:rsidRPr="002D056D">
        <w:t xml:space="preserve">decision </w:t>
      </w:r>
      <w:r w:rsidR="005241E4">
        <w:t>by</w:t>
      </w:r>
      <w:r w:rsidRPr="002D056D">
        <w:t xml:space="preserve"> the rules established by the </w:t>
      </w:r>
      <w:r>
        <w:t xml:space="preserve">order of the </w:t>
      </w:r>
      <w:r w:rsidRPr="002D056D">
        <w:t>Minister of Justice.</w:t>
      </w:r>
      <w:r>
        <w:rPr>
          <w:rStyle w:val="FootnoteReference"/>
        </w:rPr>
        <w:footnoteReference w:id="38"/>
      </w:r>
    </w:p>
    <w:p w14:paraId="361062AA" w14:textId="5DFBCC25" w:rsidR="008A6F5F" w:rsidRPr="00BD53AE" w:rsidRDefault="00BD53AE" w:rsidP="008A6F5F">
      <w:pPr>
        <w:jc w:val="both"/>
        <w:rPr>
          <w:b/>
          <w:bCs/>
        </w:rPr>
      </w:pPr>
      <w:r w:rsidRPr="00BD53AE">
        <w:rPr>
          <w:b/>
          <w:bCs/>
        </w:rPr>
        <w:t>Caseload</w:t>
      </w:r>
    </w:p>
    <w:tbl>
      <w:tblPr>
        <w:tblStyle w:val="GridTable4-Accent1"/>
        <w:tblW w:w="9923" w:type="dxa"/>
        <w:tblLook w:val="04A0" w:firstRow="1" w:lastRow="0" w:firstColumn="1" w:lastColumn="0" w:noHBand="0" w:noVBand="1"/>
      </w:tblPr>
      <w:tblGrid>
        <w:gridCol w:w="2410"/>
        <w:gridCol w:w="1422"/>
        <w:gridCol w:w="1020"/>
        <w:gridCol w:w="1248"/>
        <w:gridCol w:w="1276"/>
        <w:gridCol w:w="1460"/>
        <w:gridCol w:w="1087"/>
      </w:tblGrid>
      <w:tr w:rsidR="008A6F5F" w:rsidRPr="008C149D" w14:paraId="4D98E80B" w14:textId="77777777" w:rsidTr="00D3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12" w:space="0" w:color="002060"/>
              <w:left w:val="single" w:sz="12" w:space="0" w:color="002060"/>
            </w:tcBorders>
            <w:shd w:val="clear" w:color="auto" w:fill="B4C6E7" w:themeFill="accent5" w:themeFillTint="66"/>
          </w:tcPr>
          <w:p w14:paraId="23504497" w14:textId="77777777" w:rsidR="008A6F5F" w:rsidRPr="00D3036F" w:rsidRDefault="008A6F5F">
            <w:pPr>
              <w:pStyle w:val="ListParagraph"/>
              <w:ind w:left="0"/>
              <w:jc w:val="both"/>
              <w:rPr>
                <w:b w:val="0"/>
                <w:bCs w:val="0"/>
                <w:color w:val="002060"/>
              </w:rPr>
            </w:pPr>
          </w:p>
          <w:p w14:paraId="59641824" w14:textId="0228387B" w:rsidR="008A6F5F" w:rsidRPr="00D3036F" w:rsidRDefault="008A6F5F">
            <w:pPr>
              <w:pStyle w:val="ListParagraph"/>
              <w:ind w:left="0"/>
              <w:jc w:val="both"/>
              <w:rPr>
                <w:b w:val="0"/>
                <w:bCs w:val="0"/>
                <w:color w:val="002060"/>
              </w:rPr>
            </w:pPr>
            <w:r w:rsidRPr="00D3036F">
              <w:rPr>
                <w:color w:val="002060"/>
              </w:rPr>
              <w:lastRenderedPageBreak/>
              <w:t>Types of legal aid</w:t>
            </w:r>
            <w:r w:rsidR="00B7225D">
              <w:rPr>
                <w:color w:val="002060"/>
              </w:rPr>
              <w:t>, the field of law</w:t>
            </w:r>
          </w:p>
        </w:tc>
        <w:tc>
          <w:tcPr>
            <w:tcW w:w="3690" w:type="dxa"/>
            <w:gridSpan w:val="3"/>
            <w:tcBorders>
              <w:top w:val="single" w:sz="12" w:space="0" w:color="002060"/>
            </w:tcBorders>
            <w:shd w:val="clear" w:color="auto" w:fill="B4C6E7" w:themeFill="accent5" w:themeFillTint="66"/>
          </w:tcPr>
          <w:p w14:paraId="6FFEFB43" w14:textId="7346BDFB" w:rsidR="008A6F5F" w:rsidRPr="00D3036F" w:rsidRDefault="008A6F5F">
            <w:pPr>
              <w:pStyle w:val="ListParagraph"/>
              <w:ind w:left="0"/>
              <w:jc w:val="both"/>
              <w:cnfStyle w:val="100000000000" w:firstRow="1" w:lastRow="0" w:firstColumn="0" w:lastColumn="0" w:oddVBand="0" w:evenVBand="0" w:oddHBand="0" w:evenHBand="0" w:firstRowFirstColumn="0" w:firstRowLastColumn="0" w:lastRowFirstColumn="0" w:lastRowLastColumn="0"/>
              <w:rPr>
                <w:b w:val="0"/>
                <w:bCs w:val="0"/>
                <w:color w:val="002060"/>
                <w:lang w:val="en-US"/>
              </w:rPr>
            </w:pPr>
            <w:r w:rsidRPr="00D3036F">
              <w:rPr>
                <w:color w:val="002060"/>
              </w:rPr>
              <w:lastRenderedPageBreak/>
              <w:t>In 20</w:t>
            </w:r>
            <w:r w:rsidR="00D675F0" w:rsidRPr="00D3036F">
              <w:rPr>
                <w:color w:val="002060"/>
              </w:rPr>
              <w:t>2</w:t>
            </w:r>
            <w:r w:rsidR="00B7225D">
              <w:rPr>
                <w:color w:val="002060"/>
              </w:rPr>
              <w:t>1</w:t>
            </w:r>
          </w:p>
        </w:tc>
        <w:tc>
          <w:tcPr>
            <w:tcW w:w="3823" w:type="dxa"/>
            <w:gridSpan w:val="3"/>
            <w:tcBorders>
              <w:top w:val="single" w:sz="12" w:space="0" w:color="002060"/>
              <w:right w:val="single" w:sz="12" w:space="0" w:color="002060"/>
            </w:tcBorders>
            <w:shd w:val="clear" w:color="auto" w:fill="B4C6E7" w:themeFill="accent5" w:themeFillTint="66"/>
          </w:tcPr>
          <w:p w14:paraId="23FA1F8B" w14:textId="2133B65D" w:rsidR="008A6F5F" w:rsidRPr="00D3036F" w:rsidRDefault="008A6F5F">
            <w:pPr>
              <w:pStyle w:val="ListParagraph"/>
              <w:ind w:left="0"/>
              <w:jc w:val="both"/>
              <w:cnfStyle w:val="100000000000" w:firstRow="1" w:lastRow="0" w:firstColumn="0" w:lastColumn="0" w:oddVBand="0" w:evenVBand="0" w:oddHBand="0" w:evenHBand="0" w:firstRowFirstColumn="0" w:firstRowLastColumn="0" w:lastRowFirstColumn="0" w:lastRowLastColumn="0"/>
              <w:rPr>
                <w:b w:val="0"/>
                <w:bCs w:val="0"/>
                <w:color w:val="002060"/>
                <w:lang w:val="en-US" w:eastAsia="ko-KR"/>
              </w:rPr>
            </w:pPr>
            <w:r w:rsidRPr="00D3036F">
              <w:rPr>
                <w:color w:val="002060"/>
                <w:lang w:val="en-US"/>
              </w:rPr>
              <w:t>In 202</w:t>
            </w:r>
            <w:r w:rsidR="00B7225D">
              <w:rPr>
                <w:color w:val="002060"/>
                <w:lang w:val="en-US"/>
              </w:rPr>
              <w:t>2</w:t>
            </w:r>
          </w:p>
        </w:tc>
      </w:tr>
      <w:tr w:rsidR="008A6F5F" w:rsidRPr="00E81796" w14:paraId="3D65A74F"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tcBorders>
              <w:left w:val="single" w:sz="12" w:space="0" w:color="002060"/>
              <w:bottom w:val="single" w:sz="12" w:space="0" w:color="auto"/>
            </w:tcBorders>
            <w:shd w:val="clear" w:color="auto" w:fill="B4C6E7" w:themeFill="accent5" w:themeFillTint="66"/>
          </w:tcPr>
          <w:p w14:paraId="7E0AD1F2" w14:textId="77777777" w:rsidR="008A6F5F" w:rsidRPr="00D3036F" w:rsidRDefault="008A6F5F">
            <w:pPr>
              <w:pStyle w:val="ListParagraph"/>
              <w:ind w:left="0"/>
              <w:jc w:val="both"/>
              <w:rPr>
                <w:b w:val="0"/>
                <w:bCs w:val="0"/>
                <w:color w:val="002060"/>
                <w:sz w:val="16"/>
                <w:szCs w:val="16"/>
              </w:rPr>
            </w:pPr>
          </w:p>
        </w:tc>
        <w:tc>
          <w:tcPr>
            <w:tcW w:w="1422" w:type="dxa"/>
            <w:tcBorders>
              <w:bottom w:val="single" w:sz="12" w:space="0" w:color="002060"/>
            </w:tcBorders>
            <w:shd w:val="clear" w:color="auto" w:fill="B4C6E7" w:themeFill="accent5" w:themeFillTint="66"/>
          </w:tcPr>
          <w:p w14:paraId="00253CF6"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rPr>
            </w:pPr>
            <w:r w:rsidRPr="00D3036F">
              <w:rPr>
                <w:b/>
                <w:bCs/>
                <w:color w:val="002060"/>
                <w:sz w:val="16"/>
                <w:szCs w:val="16"/>
              </w:rPr>
              <w:t>Number of applications/</w:t>
            </w:r>
          </w:p>
          <w:p w14:paraId="2FA04937"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rPr>
            </w:pPr>
            <w:r w:rsidRPr="00D3036F">
              <w:rPr>
                <w:b/>
                <w:bCs/>
                <w:color w:val="002060"/>
                <w:sz w:val="16"/>
                <w:szCs w:val="16"/>
              </w:rPr>
              <w:t>requests</w:t>
            </w:r>
          </w:p>
        </w:tc>
        <w:tc>
          <w:tcPr>
            <w:tcW w:w="1020" w:type="dxa"/>
            <w:tcBorders>
              <w:bottom w:val="single" w:sz="12" w:space="0" w:color="002060"/>
            </w:tcBorders>
            <w:shd w:val="clear" w:color="auto" w:fill="B4C6E7" w:themeFill="accent5" w:themeFillTint="66"/>
          </w:tcPr>
          <w:p w14:paraId="33257E07"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rPr>
            </w:pPr>
            <w:r w:rsidRPr="00D3036F">
              <w:rPr>
                <w:b/>
                <w:bCs/>
                <w:color w:val="002060"/>
                <w:sz w:val="16"/>
                <w:szCs w:val="16"/>
              </w:rPr>
              <w:t>Number of grants</w:t>
            </w:r>
          </w:p>
        </w:tc>
        <w:tc>
          <w:tcPr>
            <w:tcW w:w="1248" w:type="dxa"/>
            <w:tcBorders>
              <w:bottom w:val="single" w:sz="12" w:space="0" w:color="002060"/>
            </w:tcBorders>
            <w:shd w:val="clear" w:color="auto" w:fill="B4C6E7" w:themeFill="accent5" w:themeFillTint="66"/>
          </w:tcPr>
          <w:p w14:paraId="40609980" w14:textId="735815A3"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lang w:val="en-US"/>
              </w:rPr>
            </w:pPr>
            <w:r w:rsidRPr="00D3036F">
              <w:rPr>
                <w:b/>
                <w:bCs/>
                <w:color w:val="002060"/>
                <w:sz w:val="16"/>
                <w:szCs w:val="16"/>
                <w:lang w:val="en-US"/>
              </w:rPr>
              <w:t xml:space="preserve">% of </w:t>
            </w:r>
            <w:r w:rsidR="00D675F0" w:rsidRPr="00D3036F">
              <w:rPr>
                <w:b/>
                <w:bCs/>
                <w:color w:val="002060"/>
                <w:sz w:val="16"/>
                <w:szCs w:val="16"/>
                <w:lang w:val="en-US"/>
              </w:rPr>
              <w:t xml:space="preserve">the </w:t>
            </w:r>
            <w:r w:rsidRPr="00D3036F">
              <w:rPr>
                <w:b/>
                <w:bCs/>
                <w:color w:val="002060"/>
                <w:sz w:val="16"/>
                <w:szCs w:val="16"/>
                <w:lang w:val="en-US"/>
              </w:rPr>
              <w:t>population eligible for legal aid</w:t>
            </w:r>
          </w:p>
        </w:tc>
        <w:tc>
          <w:tcPr>
            <w:tcW w:w="1276" w:type="dxa"/>
            <w:tcBorders>
              <w:bottom w:val="single" w:sz="12" w:space="0" w:color="002060"/>
            </w:tcBorders>
            <w:shd w:val="clear" w:color="auto" w:fill="B4C6E7" w:themeFill="accent5" w:themeFillTint="66"/>
          </w:tcPr>
          <w:p w14:paraId="54ED9DDD"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rPr>
            </w:pPr>
            <w:r w:rsidRPr="00D3036F">
              <w:rPr>
                <w:b/>
                <w:bCs/>
                <w:color w:val="002060"/>
                <w:sz w:val="16"/>
                <w:szCs w:val="16"/>
              </w:rPr>
              <w:t>Number of applications/</w:t>
            </w:r>
          </w:p>
          <w:p w14:paraId="3ACE035F"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lang w:val="en-US"/>
              </w:rPr>
            </w:pPr>
            <w:r w:rsidRPr="00D3036F">
              <w:rPr>
                <w:b/>
                <w:bCs/>
                <w:color w:val="002060"/>
                <w:sz w:val="16"/>
                <w:szCs w:val="16"/>
              </w:rPr>
              <w:t>requests</w:t>
            </w:r>
          </w:p>
        </w:tc>
        <w:tc>
          <w:tcPr>
            <w:tcW w:w="1460" w:type="dxa"/>
            <w:tcBorders>
              <w:bottom w:val="single" w:sz="12" w:space="0" w:color="002060"/>
            </w:tcBorders>
            <w:shd w:val="clear" w:color="auto" w:fill="B4C6E7" w:themeFill="accent5" w:themeFillTint="66"/>
          </w:tcPr>
          <w:p w14:paraId="0C64366C"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lang w:val="en-US"/>
              </w:rPr>
            </w:pPr>
            <w:r w:rsidRPr="00D3036F">
              <w:rPr>
                <w:b/>
                <w:bCs/>
                <w:color w:val="002060"/>
                <w:sz w:val="16"/>
                <w:szCs w:val="16"/>
              </w:rPr>
              <w:t>Number of grants</w:t>
            </w:r>
          </w:p>
        </w:tc>
        <w:tc>
          <w:tcPr>
            <w:tcW w:w="1087" w:type="dxa"/>
            <w:tcBorders>
              <w:bottom w:val="single" w:sz="12" w:space="0" w:color="002060"/>
              <w:right w:val="single" w:sz="12" w:space="0" w:color="002060"/>
            </w:tcBorders>
            <w:shd w:val="clear" w:color="auto" w:fill="B4C6E7" w:themeFill="accent5" w:themeFillTint="66"/>
          </w:tcPr>
          <w:p w14:paraId="7B8877B7" w14:textId="6C7657F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b/>
                <w:bCs/>
                <w:color w:val="002060"/>
                <w:sz w:val="16"/>
                <w:szCs w:val="16"/>
                <w:lang w:val="en-US"/>
              </w:rPr>
            </w:pPr>
            <w:r w:rsidRPr="00D3036F">
              <w:rPr>
                <w:b/>
                <w:bCs/>
                <w:color w:val="002060"/>
                <w:sz w:val="16"/>
                <w:szCs w:val="16"/>
              </w:rPr>
              <w:t>% of</w:t>
            </w:r>
            <w:r w:rsidR="00D675F0" w:rsidRPr="00D3036F">
              <w:rPr>
                <w:b/>
                <w:bCs/>
                <w:color w:val="002060"/>
                <w:sz w:val="16"/>
                <w:szCs w:val="16"/>
              </w:rPr>
              <w:t xml:space="preserve"> the</w:t>
            </w:r>
            <w:r w:rsidRPr="00D3036F">
              <w:rPr>
                <w:b/>
                <w:bCs/>
                <w:color w:val="002060"/>
                <w:sz w:val="16"/>
                <w:szCs w:val="16"/>
              </w:rPr>
              <w:t xml:space="preserve"> population eligible for legal aid</w:t>
            </w:r>
          </w:p>
        </w:tc>
      </w:tr>
      <w:tr w:rsidR="008A6F5F" w:rsidRPr="003F7D22" w14:paraId="01081B87" w14:textId="77777777" w:rsidTr="00D3036F">
        <w:trPr>
          <w:trHeight w:val="428"/>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left w:val="single" w:sz="12" w:space="0" w:color="002060"/>
            </w:tcBorders>
          </w:tcPr>
          <w:p w14:paraId="7FD0570A" w14:textId="77777777" w:rsidR="008A6F5F" w:rsidRPr="003F7D22" w:rsidRDefault="008A6F5F">
            <w:pPr>
              <w:pStyle w:val="ListParagraph"/>
              <w:ind w:left="0"/>
              <w:jc w:val="both"/>
              <w:rPr>
                <w:b w:val="0"/>
                <w:bCs w:val="0"/>
              </w:rPr>
            </w:pPr>
            <w:r w:rsidRPr="003F7D22">
              <w:t>Primary legal aid</w:t>
            </w:r>
          </w:p>
        </w:tc>
        <w:tc>
          <w:tcPr>
            <w:tcW w:w="1422" w:type="dxa"/>
            <w:vMerge w:val="restart"/>
            <w:tcBorders>
              <w:top w:val="single" w:sz="12" w:space="0" w:color="002060"/>
            </w:tcBorders>
          </w:tcPr>
          <w:p w14:paraId="76A81690" w14:textId="447E67DA" w:rsidR="008A6F5F" w:rsidRPr="003F7D22"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b/>
                <w:bCs/>
              </w:rPr>
            </w:pPr>
            <w:r>
              <w:rPr>
                <w:b/>
                <w:bCs/>
              </w:rPr>
              <w:t>4</w:t>
            </w:r>
            <w:r w:rsidR="007435FB">
              <w:rPr>
                <w:b/>
                <w:bCs/>
              </w:rPr>
              <w:t>2238</w:t>
            </w:r>
          </w:p>
        </w:tc>
        <w:tc>
          <w:tcPr>
            <w:tcW w:w="1020" w:type="dxa"/>
            <w:tcBorders>
              <w:top w:val="single" w:sz="12" w:space="0" w:color="002060"/>
            </w:tcBorders>
          </w:tcPr>
          <w:p w14:paraId="29767CF0" w14:textId="77251A29" w:rsidR="008A6F5F" w:rsidRPr="003F7D22"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b/>
                <w:bCs/>
              </w:rPr>
            </w:pPr>
            <w:r w:rsidRPr="003F7D22">
              <w:rPr>
                <w:b/>
                <w:bCs/>
              </w:rPr>
              <w:t>4</w:t>
            </w:r>
            <w:r w:rsidR="007435FB">
              <w:rPr>
                <w:b/>
                <w:bCs/>
              </w:rPr>
              <w:t>2238</w:t>
            </w:r>
          </w:p>
        </w:tc>
        <w:tc>
          <w:tcPr>
            <w:tcW w:w="1248" w:type="dxa"/>
            <w:tcBorders>
              <w:top w:val="single" w:sz="12" w:space="0" w:color="002060"/>
            </w:tcBorders>
          </w:tcPr>
          <w:p w14:paraId="41A3C8F2" w14:textId="77777777" w:rsidR="008A6F5F" w:rsidRPr="003F7D22"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b/>
                <w:bCs/>
                <w:lang w:val="en-US"/>
              </w:rPr>
            </w:pPr>
            <w:r w:rsidRPr="003F7D22">
              <w:rPr>
                <w:b/>
                <w:bCs/>
                <w:lang w:val="en-US"/>
              </w:rPr>
              <w:t>100</w:t>
            </w:r>
            <w:r>
              <w:rPr>
                <w:b/>
                <w:bCs/>
                <w:lang w:val="en-US"/>
              </w:rPr>
              <w:t>%</w:t>
            </w:r>
          </w:p>
        </w:tc>
        <w:tc>
          <w:tcPr>
            <w:tcW w:w="1276" w:type="dxa"/>
            <w:vMerge w:val="restart"/>
            <w:tcBorders>
              <w:top w:val="single" w:sz="12" w:space="0" w:color="002060"/>
            </w:tcBorders>
          </w:tcPr>
          <w:p w14:paraId="4360C9E0" w14:textId="63025471" w:rsidR="008A6F5F" w:rsidRPr="003F7D22" w:rsidRDefault="00B7225D">
            <w:pPr>
              <w:pStyle w:val="ListParagraph"/>
              <w:ind w:left="0"/>
              <w:jc w:val="both"/>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41226</w:t>
            </w:r>
          </w:p>
        </w:tc>
        <w:tc>
          <w:tcPr>
            <w:tcW w:w="1460" w:type="dxa"/>
            <w:tcBorders>
              <w:top w:val="single" w:sz="12" w:space="0" w:color="002060"/>
            </w:tcBorders>
          </w:tcPr>
          <w:p w14:paraId="732D67AB" w14:textId="4A80A6DD" w:rsidR="008A6F5F" w:rsidRPr="003F7D22" w:rsidRDefault="00B7225D">
            <w:pPr>
              <w:pStyle w:val="ListParagraph"/>
              <w:ind w:left="0"/>
              <w:jc w:val="both"/>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41226</w:t>
            </w:r>
          </w:p>
        </w:tc>
        <w:tc>
          <w:tcPr>
            <w:tcW w:w="1087" w:type="dxa"/>
            <w:tcBorders>
              <w:top w:val="single" w:sz="12" w:space="0" w:color="002060"/>
              <w:right w:val="single" w:sz="12" w:space="0" w:color="002060"/>
            </w:tcBorders>
          </w:tcPr>
          <w:p w14:paraId="2FEF0E66" w14:textId="77777777" w:rsidR="008A6F5F" w:rsidRPr="003F7D22"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b/>
                <w:bCs/>
                <w:lang w:val="en-US"/>
              </w:rPr>
            </w:pPr>
            <w:r w:rsidRPr="003F7D22">
              <w:rPr>
                <w:b/>
                <w:bCs/>
                <w:lang w:val="en-US"/>
              </w:rPr>
              <w:t>100</w:t>
            </w:r>
            <w:r>
              <w:rPr>
                <w:b/>
                <w:bCs/>
                <w:lang w:val="en-US"/>
              </w:rPr>
              <w:t>%</w:t>
            </w:r>
          </w:p>
        </w:tc>
      </w:tr>
      <w:tr w:rsidR="00D3036F" w14:paraId="1E959627"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2F14AD8F" w14:textId="77777777" w:rsidR="00D3036F" w:rsidRPr="00D3036F" w:rsidRDefault="00D3036F">
            <w:pPr>
              <w:pStyle w:val="ListParagraph"/>
              <w:ind w:left="0"/>
              <w:jc w:val="both"/>
              <w:rPr>
                <w:b w:val="0"/>
                <w:bCs w:val="0"/>
                <w:color w:val="2F5496" w:themeColor="accent5" w:themeShade="BF"/>
              </w:rPr>
            </w:pPr>
            <w:r w:rsidRPr="00D3036F">
              <w:rPr>
                <w:b w:val="0"/>
                <w:bCs w:val="0"/>
                <w:color w:val="2F5496" w:themeColor="accent5" w:themeShade="BF"/>
              </w:rPr>
              <w:t>Civil law</w:t>
            </w:r>
          </w:p>
        </w:tc>
        <w:tc>
          <w:tcPr>
            <w:tcW w:w="1422" w:type="dxa"/>
            <w:vMerge/>
          </w:tcPr>
          <w:p w14:paraId="47532489"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Pr>
          <w:p w14:paraId="5BAD7C17" w14:textId="2C7FC330"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r w:rsidRPr="00D3036F">
              <w:rPr>
                <w:color w:val="2F5496" w:themeColor="accent5" w:themeShade="BF"/>
                <w:lang w:val="en-US"/>
              </w:rPr>
              <w:t>16</w:t>
            </w:r>
            <w:r w:rsidR="007435FB">
              <w:rPr>
                <w:color w:val="2F5496" w:themeColor="accent5" w:themeShade="BF"/>
                <w:lang w:val="en-US"/>
              </w:rPr>
              <w:t>898</w:t>
            </w:r>
          </w:p>
        </w:tc>
        <w:tc>
          <w:tcPr>
            <w:tcW w:w="1248" w:type="dxa"/>
            <w:vMerge w:val="restart"/>
          </w:tcPr>
          <w:p w14:paraId="297E581F"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276" w:type="dxa"/>
            <w:vMerge/>
          </w:tcPr>
          <w:p w14:paraId="6F0767F6"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460" w:type="dxa"/>
          </w:tcPr>
          <w:p w14:paraId="0A2C4C3F" w14:textId="489BBE72"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r w:rsidRPr="00D3036F">
              <w:rPr>
                <w:color w:val="2F5496" w:themeColor="accent5" w:themeShade="BF"/>
              </w:rPr>
              <w:t>1</w:t>
            </w:r>
            <w:r w:rsidR="00B7225D">
              <w:rPr>
                <w:color w:val="2F5496" w:themeColor="accent5" w:themeShade="BF"/>
              </w:rPr>
              <w:t>5757</w:t>
            </w:r>
          </w:p>
        </w:tc>
        <w:tc>
          <w:tcPr>
            <w:tcW w:w="1087" w:type="dxa"/>
            <w:vMerge w:val="restart"/>
            <w:tcBorders>
              <w:right w:val="single" w:sz="12" w:space="0" w:color="002060"/>
            </w:tcBorders>
          </w:tcPr>
          <w:p w14:paraId="6075B45F" w14:textId="77777777" w:rsid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p>
        </w:tc>
      </w:tr>
      <w:tr w:rsidR="00D3036F" w14:paraId="0733AE06" w14:textId="77777777" w:rsidTr="00D3036F">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6BAE1063" w14:textId="77777777" w:rsidR="00D3036F" w:rsidRPr="00D3036F" w:rsidRDefault="00D3036F">
            <w:pPr>
              <w:pStyle w:val="ListParagraph"/>
              <w:ind w:left="0"/>
              <w:jc w:val="both"/>
              <w:rPr>
                <w:b w:val="0"/>
                <w:bCs w:val="0"/>
                <w:color w:val="2F5496" w:themeColor="accent5" w:themeShade="BF"/>
              </w:rPr>
            </w:pPr>
            <w:r w:rsidRPr="00D3036F">
              <w:rPr>
                <w:b w:val="0"/>
                <w:bCs w:val="0"/>
                <w:color w:val="2F5496" w:themeColor="accent5" w:themeShade="BF"/>
              </w:rPr>
              <w:t>Family law</w:t>
            </w:r>
          </w:p>
        </w:tc>
        <w:tc>
          <w:tcPr>
            <w:tcW w:w="1422" w:type="dxa"/>
            <w:vMerge/>
          </w:tcPr>
          <w:p w14:paraId="0FB784FA"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020" w:type="dxa"/>
          </w:tcPr>
          <w:p w14:paraId="0E752A96" w14:textId="7E903638"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D3036F">
              <w:rPr>
                <w:color w:val="2F5496" w:themeColor="accent5" w:themeShade="BF"/>
              </w:rPr>
              <w:t>1</w:t>
            </w:r>
            <w:r w:rsidR="007435FB">
              <w:rPr>
                <w:color w:val="2F5496" w:themeColor="accent5" w:themeShade="BF"/>
              </w:rPr>
              <w:t>1138</w:t>
            </w:r>
          </w:p>
        </w:tc>
        <w:tc>
          <w:tcPr>
            <w:tcW w:w="1248" w:type="dxa"/>
            <w:vMerge/>
          </w:tcPr>
          <w:p w14:paraId="3FEF8612"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p>
        </w:tc>
        <w:tc>
          <w:tcPr>
            <w:tcW w:w="1276" w:type="dxa"/>
            <w:vMerge/>
          </w:tcPr>
          <w:p w14:paraId="62F7489D"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p>
        </w:tc>
        <w:tc>
          <w:tcPr>
            <w:tcW w:w="1460" w:type="dxa"/>
          </w:tcPr>
          <w:p w14:paraId="43A99457" w14:textId="10072221"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r w:rsidRPr="00D3036F">
              <w:rPr>
                <w:color w:val="2F5496" w:themeColor="accent5" w:themeShade="BF"/>
              </w:rPr>
              <w:t>1</w:t>
            </w:r>
            <w:r w:rsidR="00B7225D">
              <w:rPr>
                <w:color w:val="2F5496" w:themeColor="accent5" w:themeShade="BF"/>
              </w:rPr>
              <w:t>1893</w:t>
            </w:r>
          </w:p>
        </w:tc>
        <w:tc>
          <w:tcPr>
            <w:tcW w:w="1087" w:type="dxa"/>
            <w:vMerge/>
            <w:tcBorders>
              <w:right w:val="single" w:sz="12" w:space="0" w:color="002060"/>
            </w:tcBorders>
          </w:tcPr>
          <w:p w14:paraId="5BAC9742" w14:textId="77777777" w:rsid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r>
      <w:tr w:rsidR="00D3036F" w14:paraId="5CC940A6"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64A7D6FF" w14:textId="77777777" w:rsidR="00D3036F" w:rsidRPr="00D3036F" w:rsidRDefault="00D3036F">
            <w:pPr>
              <w:pStyle w:val="ListParagraph"/>
              <w:ind w:left="0"/>
              <w:jc w:val="both"/>
              <w:rPr>
                <w:b w:val="0"/>
                <w:bCs w:val="0"/>
                <w:color w:val="2F5496" w:themeColor="accent5" w:themeShade="BF"/>
              </w:rPr>
            </w:pPr>
            <w:r w:rsidRPr="00D3036F">
              <w:rPr>
                <w:b w:val="0"/>
                <w:bCs w:val="0"/>
                <w:color w:val="2F5496" w:themeColor="accent5" w:themeShade="BF"/>
              </w:rPr>
              <w:t>Mediation</w:t>
            </w:r>
          </w:p>
        </w:tc>
        <w:tc>
          <w:tcPr>
            <w:tcW w:w="1422" w:type="dxa"/>
            <w:vMerge/>
          </w:tcPr>
          <w:p w14:paraId="15EFE508"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Pr>
          <w:p w14:paraId="2F322911" w14:textId="25A70900" w:rsidR="00D3036F" w:rsidRPr="00D3036F" w:rsidRDefault="007435FB">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3069</w:t>
            </w:r>
          </w:p>
        </w:tc>
        <w:tc>
          <w:tcPr>
            <w:tcW w:w="1248" w:type="dxa"/>
            <w:vMerge/>
          </w:tcPr>
          <w:p w14:paraId="325E3DC1"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276" w:type="dxa"/>
            <w:vMerge/>
          </w:tcPr>
          <w:p w14:paraId="6473E104"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460" w:type="dxa"/>
          </w:tcPr>
          <w:p w14:paraId="4C8C305E" w14:textId="5ABFE084"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r w:rsidRPr="00D3036F">
              <w:rPr>
                <w:color w:val="2F5496" w:themeColor="accent5" w:themeShade="BF"/>
              </w:rPr>
              <w:t>35</w:t>
            </w:r>
            <w:r w:rsidR="00B7225D">
              <w:rPr>
                <w:color w:val="2F5496" w:themeColor="accent5" w:themeShade="BF"/>
              </w:rPr>
              <w:t>81</w:t>
            </w:r>
          </w:p>
        </w:tc>
        <w:tc>
          <w:tcPr>
            <w:tcW w:w="1087" w:type="dxa"/>
            <w:vMerge/>
            <w:tcBorders>
              <w:right w:val="single" w:sz="12" w:space="0" w:color="002060"/>
            </w:tcBorders>
          </w:tcPr>
          <w:p w14:paraId="39285ECA" w14:textId="77777777" w:rsid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p>
        </w:tc>
      </w:tr>
      <w:tr w:rsidR="00D3036F" w14:paraId="44B5A39B" w14:textId="77777777" w:rsidTr="00D3036F">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2FC21545" w14:textId="77777777" w:rsidR="00D3036F" w:rsidRPr="00D3036F" w:rsidRDefault="00D3036F">
            <w:pPr>
              <w:pStyle w:val="ListParagraph"/>
              <w:ind w:left="0"/>
              <w:jc w:val="both"/>
              <w:rPr>
                <w:b w:val="0"/>
                <w:bCs w:val="0"/>
                <w:color w:val="2F5496" w:themeColor="accent5" w:themeShade="BF"/>
              </w:rPr>
            </w:pPr>
            <w:r w:rsidRPr="00D3036F">
              <w:rPr>
                <w:b w:val="0"/>
                <w:bCs w:val="0"/>
                <w:color w:val="2F5496" w:themeColor="accent5" w:themeShade="BF"/>
              </w:rPr>
              <w:t>Administrative law</w:t>
            </w:r>
          </w:p>
        </w:tc>
        <w:tc>
          <w:tcPr>
            <w:tcW w:w="1422" w:type="dxa"/>
            <w:vMerge/>
          </w:tcPr>
          <w:p w14:paraId="43B6C04C"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020" w:type="dxa"/>
          </w:tcPr>
          <w:p w14:paraId="54FC0158" w14:textId="329E407B" w:rsidR="00D3036F" w:rsidRPr="00D3036F" w:rsidRDefault="007435FB">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Pr>
                <w:color w:val="2F5496" w:themeColor="accent5" w:themeShade="BF"/>
              </w:rPr>
              <w:t>2619</w:t>
            </w:r>
          </w:p>
        </w:tc>
        <w:tc>
          <w:tcPr>
            <w:tcW w:w="1248" w:type="dxa"/>
            <w:vMerge/>
          </w:tcPr>
          <w:p w14:paraId="62CC6FB9"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p>
        </w:tc>
        <w:tc>
          <w:tcPr>
            <w:tcW w:w="1276" w:type="dxa"/>
            <w:vMerge/>
          </w:tcPr>
          <w:p w14:paraId="57E6F57B"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p>
        </w:tc>
        <w:tc>
          <w:tcPr>
            <w:tcW w:w="1460" w:type="dxa"/>
          </w:tcPr>
          <w:p w14:paraId="52645164" w14:textId="521719A3"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r w:rsidRPr="00D3036F">
              <w:rPr>
                <w:color w:val="2F5496" w:themeColor="accent5" w:themeShade="BF"/>
              </w:rPr>
              <w:t>2</w:t>
            </w:r>
            <w:r w:rsidR="00B7225D">
              <w:rPr>
                <w:color w:val="2F5496" w:themeColor="accent5" w:themeShade="BF"/>
              </w:rPr>
              <w:t>316</w:t>
            </w:r>
          </w:p>
        </w:tc>
        <w:tc>
          <w:tcPr>
            <w:tcW w:w="1087" w:type="dxa"/>
            <w:vMerge/>
            <w:tcBorders>
              <w:right w:val="single" w:sz="12" w:space="0" w:color="002060"/>
            </w:tcBorders>
          </w:tcPr>
          <w:p w14:paraId="6D933DC5" w14:textId="77777777" w:rsid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r>
      <w:tr w:rsidR="00D3036F" w14:paraId="7BEF57A7"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075240A9" w14:textId="729F59A9" w:rsidR="00D3036F" w:rsidRPr="00D3036F" w:rsidRDefault="00D3036F">
            <w:pPr>
              <w:pStyle w:val="ListParagraph"/>
              <w:ind w:left="0"/>
              <w:jc w:val="both"/>
              <w:rPr>
                <w:b w:val="0"/>
                <w:bCs w:val="0"/>
                <w:color w:val="2F5496" w:themeColor="accent5" w:themeShade="BF"/>
              </w:rPr>
            </w:pPr>
            <w:proofErr w:type="spellStart"/>
            <w:r w:rsidRPr="00D3036F">
              <w:rPr>
                <w:b w:val="0"/>
                <w:bCs w:val="0"/>
                <w:color w:val="2F5496" w:themeColor="accent5" w:themeShade="BF"/>
              </w:rPr>
              <w:t>Labor</w:t>
            </w:r>
            <w:proofErr w:type="spellEnd"/>
            <w:r w:rsidRPr="00D3036F">
              <w:rPr>
                <w:b w:val="0"/>
                <w:bCs w:val="0"/>
                <w:color w:val="2F5496" w:themeColor="accent5" w:themeShade="BF"/>
              </w:rPr>
              <w:t xml:space="preserve"> law</w:t>
            </w:r>
          </w:p>
        </w:tc>
        <w:tc>
          <w:tcPr>
            <w:tcW w:w="1422" w:type="dxa"/>
            <w:vMerge/>
          </w:tcPr>
          <w:p w14:paraId="79875494"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Pr>
          <w:p w14:paraId="57C4B304" w14:textId="798847FC"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D3036F">
              <w:rPr>
                <w:color w:val="2F5496" w:themeColor="accent5" w:themeShade="BF"/>
              </w:rPr>
              <w:t>19</w:t>
            </w:r>
            <w:r w:rsidR="007435FB">
              <w:rPr>
                <w:color w:val="2F5496" w:themeColor="accent5" w:themeShade="BF"/>
              </w:rPr>
              <w:t>14</w:t>
            </w:r>
          </w:p>
        </w:tc>
        <w:tc>
          <w:tcPr>
            <w:tcW w:w="1248" w:type="dxa"/>
            <w:vMerge/>
          </w:tcPr>
          <w:p w14:paraId="30148708"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276" w:type="dxa"/>
            <w:vMerge/>
          </w:tcPr>
          <w:p w14:paraId="1E8D0AEF"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460" w:type="dxa"/>
          </w:tcPr>
          <w:p w14:paraId="23E9422D" w14:textId="09E2A538" w:rsidR="00D3036F" w:rsidRPr="00D3036F" w:rsidRDefault="00B7225D">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r>
              <w:rPr>
                <w:color w:val="2F5496" w:themeColor="accent5" w:themeShade="BF"/>
              </w:rPr>
              <w:t>1575</w:t>
            </w:r>
          </w:p>
        </w:tc>
        <w:tc>
          <w:tcPr>
            <w:tcW w:w="1087" w:type="dxa"/>
            <w:vMerge/>
            <w:tcBorders>
              <w:right w:val="single" w:sz="12" w:space="0" w:color="002060"/>
            </w:tcBorders>
          </w:tcPr>
          <w:p w14:paraId="469C7989" w14:textId="77777777" w:rsid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p>
        </w:tc>
      </w:tr>
      <w:tr w:rsidR="00D3036F" w14:paraId="25F46DB5" w14:textId="77777777" w:rsidTr="00D3036F">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2802AE89" w14:textId="77777777" w:rsidR="00D3036F" w:rsidRPr="00D3036F" w:rsidRDefault="00D3036F">
            <w:pPr>
              <w:pStyle w:val="ListParagraph"/>
              <w:ind w:left="0"/>
              <w:jc w:val="both"/>
              <w:rPr>
                <w:b w:val="0"/>
                <w:bCs w:val="0"/>
                <w:color w:val="2F5496" w:themeColor="accent5" w:themeShade="BF"/>
              </w:rPr>
            </w:pPr>
            <w:r w:rsidRPr="00D3036F">
              <w:rPr>
                <w:b w:val="0"/>
                <w:bCs w:val="0"/>
                <w:color w:val="2F5496" w:themeColor="accent5" w:themeShade="BF"/>
              </w:rPr>
              <w:t>Criminal law</w:t>
            </w:r>
          </w:p>
        </w:tc>
        <w:tc>
          <w:tcPr>
            <w:tcW w:w="1422" w:type="dxa"/>
            <w:vMerge/>
          </w:tcPr>
          <w:p w14:paraId="09EE83D5"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020" w:type="dxa"/>
          </w:tcPr>
          <w:p w14:paraId="1E442F7D" w14:textId="6ACB2A66"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D3036F">
              <w:rPr>
                <w:color w:val="2F5496" w:themeColor="accent5" w:themeShade="BF"/>
              </w:rPr>
              <w:t>2</w:t>
            </w:r>
            <w:r w:rsidR="007435FB">
              <w:rPr>
                <w:color w:val="2F5496" w:themeColor="accent5" w:themeShade="BF"/>
              </w:rPr>
              <w:t>205</w:t>
            </w:r>
          </w:p>
        </w:tc>
        <w:tc>
          <w:tcPr>
            <w:tcW w:w="1248" w:type="dxa"/>
            <w:vMerge/>
          </w:tcPr>
          <w:p w14:paraId="38DE8F39"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p>
        </w:tc>
        <w:tc>
          <w:tcPr>
            <w:tcW w:w="1276" w:type="dxa"/>
            <w:vMerge/>
          </w:tcPr>
          <w:p w14:paraId="4D295C1E" w14:textId="77777777"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p>
        </w:tc>
        <w:tc>
          <w:tcPr>
            <w:tcW w:w="1460" w:type="dxa"/>
          </w:tcPr>
          <w:p w14:paraId="46BFBFA4" w14:textId="5D5D7149" w:rsidR="00D3036F" w:rsidRP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lang w:val="en-US"/>
              </w:rPr>
            </w:pPr>
            <w:r w:rsidRPr="00D3036F">
              <w:rPr>
                <w:color w:val="2F5496" w:themeColor="accent5" w:themeShade="BF"/>
              </w:rPr>
              <w:t>22</w:t>
            </w:r>
            <w:r w:rsidR="00B7225D">
              <w:rPr>
                <w:color w:val="2F5496" w:themeColor="accent5" w:themeShade="BF"/>
              </w:rPr>
              <w:t>81</w:t>
            </w:r>
          </w:p>
        </w:tc>
        <w:tc>
          <w:tcPr>
            <w:tcW w:w="1087" w:type="dxa"/>
            <w:vMerge/>
            <w:tcBorders>
              <w:right w:val="single" w:sz="12" w:space="0" w:color="002060"/>
            </w:tcBorders>
          </w:tcPr>
          <w:p w14:paraId="4527E120" w14:textId="77777777" w:rsidR="00D3036F" w:rsidRDefault="00D3036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p>
        </w:tc>
      </w:tr>
      <w:tr w:rsidR="00D3036F" w14:paraId="77E06DAC"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bottom w:val="single" w:sz="12" w:space="0" w:color="002060"/>
            </w:tcBorders>
          </w:tcPr>
          <w:p w14:paraId="2D216D81" w14:textId="77777777" w:rsidR="00D3036F" w:rsidRPr="00D3036F" w:rsidRDefault="00D3036F">
            <w:pPr>
              <w:pStyle w:val="ListParagraph"/>
              <w:ind w:left="0"/>
              <w:jc w:val="both"/>
              <w:rPr>
                <w:b w:val="0"/>
                <w:bCs w:val="0"/>
                <w:color w:val="2F5496" w:themeColor="accent5" w:themeShade="BF"/>
              </w:rPr>
            </w:pPr>
            <w:r w:rsidRPr="00D3036F">
              <w:rPr>
                <w:b w:val="0"/>
                <w:bCs w:val="0"/>
                <w:color w:val="2F5496" w:themeColor="accent5" w:themeShade="BF"/>
              </w:rPr>
              <w:t>Other</w:t>
            </w:r>
          </w:p>
        </w:tc>
        <w:tc>
          <w:tcPr>
            <w:tcW w:w="1422" w:type="dxa"/>
            <w:vMerge/>
            <w:tcBorders>
              <w:bottom w:val="single" w:sz="12" w:space="0" w:color="002060"/>
            </w:tcBorders>
          </w:tcPr>
          <w:p w14:paraId="7672C2E7"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Borders>
              <w:bottom w:val="single" w:sz="12" w:space="0" w:color="002060"/>
            </w:tcBorders>
          </w:tcPr>
          <w:p w14:paraId="2BAC1E57" w14:textId="716DC105" w:rsidR="00D3036F" w:rsidRPr="00D3036F" w:rsidRDefault="003B60C6">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4395</w:t>
            </w:r>
          </w:p>
        </w:tc>
        <w:tc>
          <w:tcPr>
            <w:tcW w:w="1248" w:type="dxa"/>
            <w:vMerge/>
            <w:tcBorders>
              <w:bottom w:val="single" w:sz="12" w:space="0" w:color="002060"/>
            </w:tcBorders>
          </w:tcPr>
          <w:p w14:paraId="0514C45A"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276" w:type="dxa"/>
            <w:vMerge/>
            <w:tcBorders>
              <w:bottom w:val="single" w:sz="12" w:space="0" w:color="002060"/>
            </w:tcBorders>
          </w:tcPr>
          <w:p w14:paraId="08BD74E2" w14:textId="77777777" w:rsidR="00D3036F" w:rsidRP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p>
        </w:tc>
        <w:tc>
          <w:tcPr>
            <w:tcW w:w="1460" w:type="dxa"/>
            <w:tcBorders>
              <w:bottom w:val="single" w:sz="12" w:space="0" w:color="002060"/>
            </w:tcBorders>
          </w:tcPr>
          <w:p w14:paraId="6739C0D1" w14:textId="1E14C5CF" w:rsidR="00D3036F" w:rsidRPr="00D3036F" w:rsidRDefault="00B7225D">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r>
              <w:rPr>
                <w:color w:val="2F5496" w:themeColor="accent5" w:themeShade="BF"/>
                <w:lang w:val="en-US"/>
              </w:rPr>
              <w:t>3823</w:t>
            </w:r>
          </w:p>
        </w:tc>
        <w:tc>
          <w:tcPr>
            <w:tcW w:w="1087" w:type="dxa"/>
            <w:vMerge/>
            <w:tcBorders>
              <w:bottom w:val="single" w:sz="12" w:space="0" w:color="002060"/>
              <w:right w:val="single" w:sz="12" w:space="0" w:color="002060"/>
            </w:tcBorders>
          </w:tcPr>
          <w:p w14:paraId="2DA6ED0A" w14:textId="77777777" w:rsidR="00D3036F" w:rsidRDefault="00D3036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p>
        </w:tc>
      </w:tr>
      <w:tr w:rsidR="008A6F5F" w14:paraId="4D302AC0" w14:textId="77777777" w:rsidTr="00D3036F">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002060"/>
              <w:left w:val="single" w:sz="12" w:space="0" w:color="002060"/>
            </w:tcBorders>
          </w:tcPr>
          <w:p w14:paraId="77DC65E7" w14:textId="77777777" w:rsidR="008A6F5F" w:rsidRPr="003F7D22" w:rsidRDefault="008A6F5F">
            <w:pPr>
              <w:pStyle w:val="ListParagraph"/>
              <w:ind w:left="0"/>
              <w:jc w:val="both"/>
              <w:rPr>
                <w:b w:val="0"/>
                <w:bCs w:val="0"/>
              </w:rPr>
            </w:pPr>
            <w:r w:rsidRPr="003F7D22">
              <w:t>Secondary legal aid</w:t>
            </w:r>
          </w:p>
        </w:tc>
        <w:tc>
          <w:tcPr>
            <w:tcW w:w="1422" w:type="dxa"/>
            <w:vMerge w:val="restart"/>
            <w:tcBorders>
              <w:top w:val="single" w:sz="12" w:space="0" w:color="002060"/>
            </w:tcBorders>
          </w:tcPr>
          <w:p w14:paraId="5D3E4A06" w14:textId="50033707" w:rsidR="008A6F5F" w:rsidRPr="00996BB6" w:rsidRDefault="005A5D7E">
            <w:pPr>
              <w:pStyle w:val="ListParagraph"/>
              <w:ind w:left="0"/>
              <w:jc w:val="both"/>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30165</w:t>
            </w:r>
          </w:p>
        </w:tc>
        <w:tc>
          <w:tcPr>
            <w:tcW w:w="1020" w:type="dxa"/>
            <w:tcBorders>
              <w:top w:val="single" w:sz="12" w:space="0" w:color="002060"/>
            </w:tcBorders>
          </w:tcPr>
          <w:p w14:paraId="39AAB2CE" w14:textId="3DB71FAE" w:rsidR="008A6F5F" w:rsidRPr="003F7D22" w:rsidRDefault="005A5D7E">
            <w:pPr>
              <w:pStyle w:val="ListParagraph"/>
              <w:ind w:left="0"/>
              <w:jc w:val="both"/>
              <w:cnfStyle w:val="000000000000" w:firstRow="0" w:lastRow="0" w:firstColumn="0" w:lastColumn="0" w:oddVBand="0" w:evenVBand="0" w:oddHBand="0" w:evenHBand="0" w:firstRowFirstColumn="0" w:firstRowLastColumn="0" w:lastRowFirstColumn="0" w:lastRowLastColumn="0"/>
              <w:rPr>
                <w:b/>
                <w:bCs/>
              </w:rPr>
            </w:pPr>
            <w:r>
              <w:rPr>
                <w:b/>
                <w:bCs/>
              </w:rPr>
              <w:t>28184</w:t>
            </w:r>
          </w:p>
        </w:tc>
        <w:tc>
          <w:tcPr>
            <w:tcW w:w="1248" w:type="dxa"/>
            <w:tcBorders>
              <w:top w:val="single" w:sz="12" w:space="0" w:color="002060"/>
            </w:tcBorders>
          </w:tcPr>
          <w:p w14:paraId="649A4E84" w14:textId="77777777" w:rsidR="008A6F5F" w:rsidRPr="00C06943"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sidRPr="00C06943">
              <w:rPr>
                <w:lang w:val="en-US"/>
              </w:rPr>
              <w:t>Not available</w:t>
            </w:r>
          </w:p>
        </w:tc>
        <w:tc>
          <w:tcPr>
            <w:tcW w:w="1276" w:type="dxa"/>
            <w:vMerge w:val="restart"/>
            <w:tcBorders>
              <w:top w:val="single" w:sz="12" w:space="0" w:color="002060"/>
            </w:tcBorders>
          </w:tcPr>
          <w:p w14:paraId="0EC31B50" w14:textId="35209E66" w:rsidR="008A6F5F" w:rsidRPr="003F7D22"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b/>
                <w:bCs/>
                <w:lang w:val="en-US"/>
              </w:rPr>
            </w:pPr>
            <w:r w:rsidRPr="003F7D22">
              <w:rPr>
                <w:b/>
                <w:bCs/>
                <w:lang w:val="en-US"/>
              </w:rPr>
              <w:t>3</w:t>
            </w:r>
            <w:r w:rsidR="005A5D7E">
              <w:rPr>
                <w:b/>
                <w:bCs/>
                <w:lang w:val="en-US"/>
              </w:rPr>
              <w:t>1413</w:t>
            </w:r>
          </w:p>
        </w:tc>
        <w:tc>
          <w:tcPr>
            <w:tcW w:w="1460" w:type="dxa"/>
            <w:tcBorders>
              <w:top w:val="single" w:sz="12" w:space="0" w:color="002060"/>
            </w:tcBorders>
          </w:tcPr>
          <w:p w14:paraId="6DFB7B1D" w14:textId="086F14FB" w:rsidR="008A6F5F" w:rsidRPr="003F7D22"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b/>
                <w:bCs/>
                <w:lang w:val="en-US"/>
              </w:rPr>
            </w:pPr>
            <w:r w:rsidRPr="003F7D22">
              <w:rPr>
                <w:b/>
                <w:bCs/>
                <w:lang w:val="en-US"/>
              </w:rPr>
              <w:t>3</w:t>
            </w:r>
            <w:r w:rsidR="009F20C7">
              <w:rPr>
                <w:b/>
                <w:bCs/>
                <w:lang w:val="en-US"/>
              </w:rPr>
              <w:t>0299</w:t>
            </w:r>
          </w:p>
        </w:tc>
        <w:tc>
          <w:tcPr>
            <w:tcW w:w="1087" w:type="dxa"/>
            <w:tcBorders>
              <w:top w:val="single" w:sz="12" w:space="0" w:color="002060"/>
              <w:right w:val="single" w:sz="12" w:space="0" w:color="002060"/>
            </w:tcBorders>
          </w:tcPr>
          <w:p w14:paraId="63AF0A6F" w14:textId="77777777" w:rsidR="008A6F5F" w:rsidRPr="00C06943"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sidRPr="00C06943">
              <w:rPr>
                <w:lang w:val="en-US"/>
              </w:rPr>
              <w:t>Not available</w:t>
            </w:r>
          </w:p>
        </w:tc>
      </w:tr>
      <w:tr w:rsidR="008A6F5F" w14:paraId="259E4B14"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4BE4ED34" w14:textId="77777777" w:rsidR="008A6F5F" w:rsidRPr="00D3036F" w:rsidRDefault="008A6F5F">
            <w:pPr>
              <w:pStyle w:val="ListParagraph"/>
              <w:ind w:left="0"/>
              <w:jc w:val="both"/>
              <w:rPr>
                <w:b w:val="0"/>
                <w:bCs w:val="0"/>
                <w:color w:val="2F5496" w:themeColor="accent5" w:themeShade="BF"/>
              </w:rPr>
            </w:pPr>
            <w:r w:rsidRPr="00D3036F">
              <w:rPr>
                <w:b w:val="0"/>
                <w:bCs w:val="0"/>
                <w:color w:val="2F5496" w:themeColor="accent5" w:themeShade="BF"/>
              </w:rPr>
              <w:t>Civil cases</w:t>
            </w:r>
          </w:p>
        </w:tc>
        <w:tc>
          <w:tcPr>
            <w:tcW w:w="1422" w:type="dxa"/>
            <w:vMerge/>
          </w:tcPr>
          <w:p w14:paraId="286CBB7C"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Pr>
          <w:p w14:paraId="6E61447C" w14:textId="62A2736E" w:rsidR="008A6F5F" w:rsidRPr="00D3036F" w:rsidRDefault="00D94C3C">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7970</w:t>
            </w:r>
          </w:p>
        </w:tc>
        <w:tc>
          <w:tcPr>
            <w:tcW w:w="1248" w:type="dxa"/>
          </w:tcPr>
          <w:p w14:paraId="248D2AFB"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276" w:type="dxa"/>
            <w:vMerge/>
          </w:tcPr>
          <w:p w14:paraId="56B6A23E"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460" w:type="dxa"/>
          </w:tcPr>
          <w:p w14:paraId="377B142B" w14:textId="29FCDF7C" w:rsidR="008A6F5F" w:rsidRPr="00D3036F" w:rsidRDefault="009F20C7">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lang w:val="en-US"/>
              </w:rPr>
            </w:pPr>
            <w:r>
              <w:rPr>
                <w:color w:val="2F5496" w:themeColor="accent5" w:themeShade="BF"/>
                <w:lang w:val="en-US"/>
              </w:rPr>
              <w:t>9496</w:t>
            </w:r>
          </w:p>
        </w:tc>
        <w:tc>
          <w:tcPr>
            <w:tcW w:w="1087" w:type="dxa"/>
            <w:tcBorders>
              <w:right w:val="single" w:sz="12" w:space="0" w:color="002060"/>
            </w:tcBorders>
          </w:tcPr>
          <w:p w14:paraId="07C181D4" w14:textId="77777777" w:rsidR="008A6F5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8A6F5F" w14:paraId="6F1E12D7" w14:textId="77777777" w:rsidTr="00D3036F">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44B3066C" w14:textId="77777777" w:rsidR="008A6F5F" w:rsidRPr="00D3036F" w:rsidRDefault="008A6F5F">
            <w:pPr>
              <w:pStyle w:val="ListParagraph"/>
              <w:ind w:left="0"/>
              <w:jc w:val="both"/>
              <w:rPr>
                <w:b w:val="0"/>
                <w:bCs w:val="0"/>
                <w:color w:val="2F5496" w:themeColor="accent5" w:themeShade="BF"/>
              </w:rPr>
            </w:pPr>
            <w:r w:rsidRPr="00D3036F">
              <w:rPr>
                <w:b w:val="0"/>
                <w:bCs w:val="0"/>
                <w:color w:val="2F5496" w:themeColor="accent5" w:themeShade="BF"/>
              </w:rPr>
              <w:t>Criminal cases (decisions of SGLAS)</w:t>
            </w:r>
          </w:p>
        </w:tc>
        <w:tc>
          <w:tcPr>
            <w:tcW w:w="1422" w:type="dxa"/>
            <w:vMerge/>
          </w:tcPr>
          <w:p w14:paraId="230A3401" w14:textId="77777777"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020" w:type="dxa"/>
          </w:tcPr>
          <w:p w14:paraId="5979CAE0" w14:textId="0D4F4E3B"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D3036F">
              <w:rPr>
                <w:color w:val="2F5496" w:themeColor="accent5" w:themeShade="BF"/>
              </w:rPr>
              <w:t>1</w:t>
            </w:r>
            <w:r w:rsidR="00D94C3C">
              <w:rPr>
                <w:color w:val="2F5496" w:themeColor="accent5" w:themeShade="BF"/>
              </w:rPr>
              <w:t>195</w:t>
            </w:r>
          </w:p>
        </w:tc>
        <w:tc>
          <w:tcPr>
            <w:tcW w:w="1248" w:type="dxa"/>
          </w:tcPr>
          <w:p w14:paraId="3068DC47" w14:textId="77777777"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276" w:type="dxa"/>
            <w:vMerge/>
          </w:tcPr>
          <w:p w14:paraId="41D74EA8" w14:textId="77777777"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460" w:type="dxa"/>
          </w:tcPr>
          <w:p w14:paraId="7BF16C14" w14:textId="27B4934E"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D3036F">
              <w:rPr>
                <w:color w:val="2F5496" w:themeColor="accent5" w:themeShade="BF"/>
              </w:rPr>
              <w:t>134</w:t>
            </w:r>
            <w:r w:rsidR="009F20C7">
              <w:rPr>
                <w:color w:val="2F5496" w:themeColor="accent5" w:themeShade="BF"/>
              </w:rPr>
              <w:t>2</w:t>
            </w:r>
          </w:p>
        </w:tc>
        <w:tc>
          <w:tcPr>
            <w:tcW w:w="1087" w:type="dxa"/>
            <w:tcBorders>
              <w:right w:val="single" w:sz="12" w:space="0" w:color="002060"/>
            </w:tcBorders>
          </w:tcPr>
          <w:p w14:paraId="77CC2E6D" w14:textId="77777777" w:rsidR="008A6F5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pPr>
          </w:p>
        </w:tc>
      </w:tr>
      <w:tr w:rsidR="008A6F5F" w14:paraId="17D6F926"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6FC5BD0F" w14:textId="77777777" w:rsidR="008A6F5F" w:rsidRPr="00D3036F" w:rsidRDefault="008A6F5F">
            <w:pPr>
              <w:pStyle w:val="ListParagraph"/>
              <w:ind w:left="0"/>
              <w:jc w:val="both"/>
              <w:rPr>
                <w:b w:val="0"/>
                <w:bCs w:val="0"/>
                <w:color w:val="2F5496" w:themeColor="accent5" w:themeShade="BF"/>
              </w:rPr>
            </w:pPr>
            <w:r w:rsidRPr="00D3036F">
              <w:rPr>
                <w:b w:val="0"/>
                <w:bCs w:val="0"/>
                <w:color w:val="2F5496" w:themeColor="accent5" w:themeShade="BF"/>
              </w:rPr>
              <w:t>Criminal cases (decisions of courts or pre-trial investigation institutions)</w:t>
            </w:r>
          </w:p>
        </w:tc>
        <w:tc>
          <w:tcPr>
            <w:tcW w:w="1422" w:type="dxa"/>
            <w:vMerge/>
          </w:tcPr>
          <w:p w14:paraId="0FF2EB81"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Pr>
          <w:p w14:paraId="75415B7F" w14:textId="20ECC7F4" w:rsidR="008A6F5F" w:rsidRPr="00D3036F" w:rsidRDefault="00D94C3C">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18421</w:t>
            </w:r>
          </w:p>
        </w:tc>
        <w:tc>
          <w:tcPr>
            <w:tcW w:w="1248" w:type="dxa"/>
          </w:tcPr>
          <w:p w14:paraId="67601AB5"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276" w:type="dxa"/>
            <w:vMerge/>
          </w:tcPr>
          <w:p w14:paraId="6CED9075"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460" w:type="dxa"/>
          </w:tcPr>
          <w:p w14:paraId="70CBB842" w14:textId="20C9FB5B" w:rsidR="008A6F5F" w:rsidRPr="00D3036F" w:rsidRDefault="009F20C7">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18972</w:t>
            </w:r>
          </w:p>
        </w:tc>
        <w:tc>
          <w:tcPr>
            <w:tcW w:w="1087" w:type="dxa"/>
            <w:tcBorders>
              <w:right w:val="single" w:sz="12" w:space="0" w:color="002060"/>
            </w:tcBorders>
          </w:tcPr>
          <w:p w14:paraId="5268C193" w14:textId="77777777" w:rsidR="008A6F5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8A6F5F" w14:paraId="3FA5EF2A" w14:textId="77777777" w:rsidTr="00D3036F">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2D20EAFE" w14:textId="77777777" w:rsidR="008A6F5F" w:rsidRPr="00D3036F" w:rsidRDefault="008A6F5F">
            <w:pPr>
              <w:pStyle w:val="ListParagraph"/>
              <w:ind w:left="0"/>
              <w:jc w:val="both"/>
              <w:rPr>
                <w:b w:val="0"/>
                <w:bCs w:val="0"/>
                <w:color w:val="2F5496" w:themeColor="accent5" w:themeShade="BF"/>
              </w:rPr>
            </w:pPr>
            <w:r w:rsidRPr="00D3036F">
              <w:rPr>
                <w:b w:val="0"/>
                <w:bCs w:val="0"/>
                <w:color w:val="2F5496" w:themeColor="accent5" w:themeShade="BF"/>
              </w:rPr>
              <w:t>Administrative cases</w:t>
            </w:r>
          </w:p>
        </w:tc>
        <w:tc>
          <w:tcPr>
            <w:tcW w:w="1422" w:type="dxa"/>
            <w:vMerge/>
          </w:tcPr>
          <w:p w14:paraId="62E3D0FD" w14:textId="77777777"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020" w:type="dxa"/>
          </w:tcPr>
          <w:p w14:paraId="58D55506" w14:textId="333BC414" w:rsidR="008A6F5F" w:rsidRPr="00D3036F" w:rsidRDefault="00D94C3C">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Pr>
                <w:color w:val="2F5496" w:themeColor="accent5" w:themeShade="BF"/>
              </w:rPr>
              <w:t>372</w:t>
            </w:r>
          </w:p>
        </w:tc>
        <w:tc>
          <w:tcPr>
            <w:tcW w:w="1248" w:type="dxa"/>
          </w:tcPr>
          <w:p w14:paraId="0B2B9C3A" w14:textId="77777777"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276" w:type="dxa"/>
            <w:vMerge/>
          </w:tcPr>
          <w:p w14:paraId="231516C4" w14:textId="77777777" w:rsidR="008A6F5F" w:rsidRPr="00D3036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460" w:type="dxa"/>
          </w:tcPr>
          <w:p w14:paraId="7B1731CB" w14:textId="15483F49" w:rsidR="008A6F5F" w:rsidRPr="00D3036F" w:rsidRDefault="009F20C7">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Pr>
                <w:color w:val="2F5496" w:themeColor="accent5" w:themeShade="BF"/>
              </w:rPr>
              <w:t>302</w:t>
            </w:r>
          </w:p>
        </w:tc>
        <w:tc>
          <w:tcPr>
            <w:tcW w:w="1087" w:type="dxa"/>
            <w:tcBorders>
              <w:right w:val="single" w:sz="12" w:space="0" w:color="002060"/>
            </w:tcBorders>
          </w:tcPr>
          <w:p w14:paraId="43DE3BB9" w14:textId="77777777" w:rsidR="008A6F5F" w:rsidRDefault="008A6F5F">
            <w:pPr>
              <w:pStyle w:val="ListParagraph"/>
              <w:ind w:left="0"/>
              <w:jc w:val="both"/>
              <w:cnfStyle w:val="000000000000" w:firstRow="0" w:lastRow="0" w:firstColumn="0" w:lastColumn="0" w:oddVBand="0" w:evenVBand="0" w:oddHBand="0" w:evenHBand="0" w:firstRowFirstColumn="0" w:firstRowLastColumn="0" w:lastRowFirstColumn="0" w:lastRowLastColumn="0"/>
            </w:pPr>
          </w:p>
        </w:tc>
      </w:tr>
      <w:tr w:rsidR="008A6F5F" w14:paraId="35E5F8EB"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5BD4F89F" w14:textId="77777777" w:rsidR="008A6F5F" w:rsidRPr="00D3036F" w:rsidRDefault="008A6F5F">
            <w:pPr>
              <w:pStyle w:val="ListParagraph"/>
              <w:ind w:left="0"/>
              <w:jc w:val="both"/>
              <w:rPr>
                <w:b w:val="0"/>
                <w:bCs w:val="0"/>
                <w:color w:val="2F5496" w:themeColor="accent5" w:themeShade="BF"/>
              </w:rPr>
            </w:pPr>
            <w:r w:rsidRPr="00D3036F">
              <w:rPr>
                <w:b w:val="0"/>
                <w:bCs w:val="0"/>
                <w:color w:val="2F5496" w:themeColor="accent5" w:themeShade="BF"/>
              </w:rPr>
              <w:t>Process of execution</w:t>
            </w:r>
          </w:p>
        </w:tc>
        <w:tc>
          <w:tcPr>
            <w:tcW w:w="1422" w:type="dxa"/>
            <w:vMerge/>
          </w:tcPr>
          <w:p w14:paraId="1452C7DA"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Pr>
          <w:p w14:paraId="46C9B2BD" w14:textId="330401DA" w:rsidR="008A6F5F" w:rsidRPr="00D3036F" w:rsidRDefault="00D94C3C">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159</w:t>
            </w:r>
          </w:p>
        </w:tc>
        <w:tc>
          <w:tcPr>
            <w:tcW w:w="1248" w:type="dxa"/>
          </w:tcPr>
          <w:p w14:paraId="42DACD82"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276" w:type="dxa"/>
            <w:vMerge/>
          </w:tcPr>
          <w:p w14:paraId="5F0ACDB0"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460" w:type="dxa"/>
          </w:tcPr>
          <w:p w14:paraId="3C81D47F" w14:textId="20216CDB"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D3036F">
              <w:rPr>
                <w:color w:val="2F5496" w:themeColor="accent5" w:themeShade="BF"/>
              </w:rPr>
              <w:t>1</w:t>
            </w:r>
            <w:r w:rsidR="009F20C7">
              <w:rPr>
                <w:color w:val="2F5496" w:themeColor="accent5" w:themeShade="BF"/>
              </w:rPr>
              <w:t>38</w:t>
            </w:r>
          </w:p>
        </w:tc>
        <w:tc>
          <w:tcPr>
            <w:tcW w:w="1087" w:type="dxa"/>
            <w:tcBorders>
              <w:right w:val="single" w:sz="12" w:space="0" w:color="002060"/>
            </w:tcBorders>
          </w:tcPr>
          <w:p w14:paraId="5BC1D3C4" w14:textId="77777777" w:rsidR="008A6F5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r w:rsidR="009F20C7" w14:paraId="4B608AA5" w14:textId="77777777" w:rsidTr="00D3036F">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tcBorders>
          </w:tcPr>
          <w:p w14:paraId="1F147AFE" w14:textId="088B6226" w:rsidR="009F20C7" w:rsidRPr="00D3036F" w:rsidRDefault="009F20C7">
            <w:pPr>
              <w:pStyle w:val="ListParagraph"/>
              <w:ind w:left="0"/>
              <w:jc w:val="both"/>
              <w:rPr>
                <w:b w:val="0"/>
                <w:bCs w:val="0"/>
                <w:color w:val="2F5496" w:themeColor="accent5" w:themeShade="BF"/>
              </w:rPr>
            </w:pPr>
            <w:r>
              <w:rPr>
                <w:b w:val="0"/>
                <w:bCs w:val="0"/>
                <w:color w:val="2F5496" w:themeColor="accent5" w:themeShade="BF"/>
              </w:rPr>
              <w:t>Transnational cases</w:t>
            </w:r>
          </w:p>
        </w:tc>
        <w:tc>
          <w:tcPr>
            <w:tcW w:w="1422" w:type="dxa"/>
            <w:vMerge/>
          </w:tcPr>
          <w:p w14:paraId="6FBF1718" w14:textId="77777777" w:rsidR="009F20C7" w:rsidRPr="00D3036F" w:rsidRDefault="009F20C7">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020" w:type="dxa"/>
          </w:tcPr>
          <w:p w14:paraId="10E5F619" w14:textId="55D7C223" w:rsidR="009F20C7" w:rsidRPr="00D3036F" w:rsidRDefault="00D94C3C">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Pr>
                <w:color w:val="2F5496" w:themeColor="accent5" w:themeShade="BF"/>
              </w:rPr>
              <w:t>67</w:t>
            </w:r>
          </w:p>
        </w:tc>
        <w:tc>
          <w:tcPr>
            <w:tcW w:w="1248" w:type="dxa"/>
          </w:tcPr>
          <w:p w14:paraId="611ED2A7" w14:textId="77777777" w:rsidR="009F20C7" w:rsidRPr="00D3036F" w:rsidRDefault="009F20C7">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276" w:type="dxa"/>
            <w:vMerge/>
          </w:tcPr>
          <w:p w14:paraId="76844BFF" w14:textId="77777777" w:rsidR="009F20C7" w:rsidRPr="00D3036F" w:rsidRDefault="009F20C7">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c>
          <w:tcPr>
            <w:tcW w:w="1460" w:type="dxa"/>
          </w:tcPr>
          <w:p w14:paraId="4C647517" w14:textId="1A2AB3EB" w:rsidR="009F20C7" w:rsidRPr="00D3036F" w:rsidRDefault="009F20C7">
            <w:pPr>
              <w:pStyle w:val="ListParagraph"/>
              <w:ind w:left="0"/>
              <w:jc w:val="both"/>
              <w:cnfStyle w:val="000000000000" w:firstRow="0" w:lastRow="0" w:firstColumn="0" w:lastColumn="0" w:oddVBand="0" w:evenVBand="0" w:oddHBand="0" w:evenHBand="0" w:firstRowFirstColumn="0" w:firstRowLastColumn="0" w:lastRowFirstColumn="0" w:lastRowLastColumn="0"/>
              <w:rPr>
                <w:color w:val="2F5496" w:themeColor="accent5" w:themeShade="BF"/>
              </w:rPr>
            </w:pPr>
            <w:r>
              <w:rPr>
                <w:color w:val="2F5496" w:themeColor="accent5" w:themeShade="BF"/>
              </w:rPr>
              <w:t>43</w:t>
            </w:r>
          </w:p>
        </w:tc>
        <w:tc>
          <w:tcPr>
            <w:tcW w:w="1087" w:type="dxa"/>
            <w:tcBorders>
              <w:right w:val="single" w:sz="12" w:space="0" w:color="002060"/>
            </w:tcBorders>
          </w:tcPr>
          <w:p w14:paraId="44ECCC25" w14:textId="77777777" w:rsidR="009F20C7" w:rsidRDefault="009F20C7">
            <w:pPr>
              <w:pStyle w:val="ListParagraph"/>
              <w:ind w:left="0"/>
              <w:jc w:val="both"/>
              <w:cnfStyle w:val="000000000000" w:firstRow="0" w:lastRow="0" w:firstColumn="0" w:lastColumn="0" w:oddVBand="0" w:evenVBand="0" w:oddHBand="0" w:evenHBand="0" w:firstRowFirstColumn="0" w:firstRowLastColumn="0" w:lastRowFirstColumn="0" w:lastRowLastColumn="0"/>
            </w:pPr>
          </w:p>
        </w:tc>
      </w:tr>
      <w:tr w:rsidR="009F20C7" w14:paraId="1D3F4880" w14:textId="77777777" w:rsidTr="00D3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12" w:space="0" w:color="002060"/>
              <w:bottom w:val="single" w:sz="12" w:space="0" w:color="002060"/>
            </w:tcBorders>
          </w:tcPr>
          <w:p w14:paraId="528B2CBB" w14:textId="77777777" w:rsidR="008A6F5F" w:rsidRPr="00D3036F" w:rsidRDefault="008A6F5F">
            <w:pPr>
              <w:pStyle w:val="ListParagraph"/>
              <w:ind w:left="0"/>
              <w:jc w:val="both"/>
              <w:rPr>
                <w:b w:val="0"/>
                <w:bCs w:val="0"/>
                <w:color w:val="2F5496" w:themeColor="accent5" w:themeShade="BF"/>
              </w:rPr>
            </w:pPr>
            <w:r w:rsidRPr="00D3036F">
              <w:rPr>
                <w:b w:val="0"/>
                <w:bCs w:val="0"/>
                <w:color w:val="2F5496" w:themeColor="accent5" w:themeShade="BF"/>
              </w:rPr>
              <w:t>Constitutional cases</w:t>
            </w:r>
          </w:p>
        </w:tc>
        <w:tc>
          <w:tcPr>
            <w:tcW w:w="1422" w:type="dxa"/>
            <w:vMerge/>
            <w:tcBorders>
              <w:bottom w:val="single" w:sz="12" w:space="0" w:color="002060"/>
            </w:tcBorders>
          </w:tcPr>
          <w:p w14:paraId="403FE836"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020" w:type="dxa"/>
            <w:tcBorders>
              <w:bottom w:val="single" w:sz="12" w:space="0" w:color="002060"/>
            </w:tcBorders>
          </w:tcPr>
          <w:p w14:paraId="6EBC3722" w14:textId="7C1ADD40" w:rsidR="008A6F5F" w:rsidRPr="00D3036F" w:rsidRDefault="00D94C3C">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0</w:t>
            </w:r>
          </w:p>
        </w:tc>
        <w:tc>
          <w:tcPr>
            <w:tcW w:w="1248" w:type="dxa"/>
            <w:tcBorders>
              <w:bottom w:val="single" w:sz="12" w:space="0" w:color="002060"/>
            </w:tcBorders>
          </w:tcPr>
          <w:p w14:paraId="459BF32F"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276" w:type="dxa"/>
            <w:vMerge/>
            <w:tcBorders>
              <w:bottom w:val="single" w:sz="12" w:space="0" w:color="002060"/>
            </w:tcBorders>
          </w:tcPr>
          <w:p w14:paraId="0ACD3834" w14:textId="77777777" w:rsidR="008A6F5F" w:rsidRPr="00D3036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c>
          <w:tcPr>
            <w:tcW w:w="1460" w:type="dxa"/>
            <w:tcBorders>
              <w:bottom w:val="single" w:sz="12" w:space="0" w:color="002060"/>
            </w:tcBorders>
          </w:tcPr>
          <w:p w14:paraId="7DF1EC77" w14:textId="37C522A4" w:rsidR="008A6F5F" w:rsidRPr="00D3036F" w:rsidRDefault="009F20C7">
            <w:pPr>
              <w:pStyle w:val="ListParagraph"/>
              <w:ind w:left="0"/>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2</w:t>
            </w:r>
          </w:p>
        </w:tc>
        <w:tc>
          <w:tcPr>
            <w:tcW w:w="1087" w:type="dxa"/>
            <w:tcBorders>
              <w:bottom w:val="single" w:sz="12" w:space="0" w:color="002060"/>
              <w:right w:val="single" w:sz="12" w:space="0" w:color="002060"/>
            </w:tcBorders>
          </w:tcPr>
          <w:p w14:paraId="45099FAB" w14:textId="77777777" w:rsidR="008A6F5F" w:rsidRDefault="008A6F5F">
            <w:pPr>
              <w:pStyle w:val="ListParagraph"/>
              <w:ind w:left="0"/>
              <w:jc w:val="both"/>
              <w:cnfStyle w:val="000000100000" w:firstRow="0" w:lastRow="0" w:firstColumn="0" w:lastColumn="0" w:oddVBand="0" w:evenVBand="0" w:oddHBand="1" w:evenHBand="0" w:firstRowFirstColumn="0" w:firstRowLastColumn="0" w:lastRowFirstColumn="0" w:lastRowLastColumn="0"/>
            </w:pPr>
          </w:p>
        </w:tc>
      </w:tr>
    </w:tbl>
    <w:p w14:paraId="728BF578" w14:textId="7E54FFCA" w:rsidR="00662B3B" w:rsidRDefault="008A6F5F">
      <w:pPr>
        <w:rPr>
          <w:b/>
          <w:bCs/>
        </w:rPr>
      </w:pPr>
      <w:r>
        <w:rPr>
          <w:b/>
          <w:bCs/>
        </w:rPr>
        <w:br w:type="page"/>
      </w:r>
    </w:p>
    <w:p w14:paraId="281DA793" w14:textId="6D4CF004" w:rsidR="00855CCC" w:rsidRDefault="00855CCC" w:rsidP="000A5D33">
      <w:pPr>
        <w:pStyle w:val="Heading1"/>
        <w:numPr>
          <w:ilvl w:val="0"/>
          <w:numId w:val="16"/>
        </w:numPr>
      </w:pPr>
      <w:r w:rsidRPr="00385A1A">
        <w:lastRenderedPageBreak/>
        <w:t>Quality Assurance</w:t>
      </w:r>
    </w:p>
    <w:p w14:paraId="1E855079" w14:textId="77777777" w:rsidR="000A5D33" w:rsidRPr="000A5D33" w:rsidRDefault="000A5D33" w:rsidP="000A5D33"/>
    <w:p w14:paraId="0D9B56E6" w14:textId="77777777" w:rsidR="001474F6" w:rsidRDefault="003D0A9C" w:rsidP="001474F6">
      <w:pPr>
        <w:jc w:val="both"/>
        <w:rPr>
          <w:b/>
          <w:bCs/>
        </w:rPr>
      </w:pPr>
      <w:r w:rsidRPr="003D0A9C">
        <w:rPr>
          <w:b/>
          <w:bCs/>
        </w:rPr>
        <w:t>Primary legal aid</w:t>
      </w:r>
    </w:p>
    <w:p w14:paraId="5CD0901E" w14:textId="76586203" w:rsidR="00CB2D62" w:rsidRDefault="00E74CFE" w:rsidP="001474F6">
      <w:pPr>
        <w:jc w:val="both"/>
      </w:pPr>
      <w:r w:rsidRPr="00626E37">
        <w:t>The responsibility to provide quality legal aid is on the director of the municipality administration.</w:t>
      </w:r>
      <w:r w:rsidR="009F5BD6">
        <w:rPr>
          <w:rStyle w:val="FootnoteReference"/>
        </w:rPr>
        <w:footnoteReference w:id="39"/>
      </w:r>
      <w:r w:rsidRPr="00626E37">
        <w:t xml:space="preserve"> </w:t>
      </w:r>
    </w:p>
    <w:p w14:paraId="4D5ACF0C" w14:textId="59A0AFE0" w:rsidR="00CB2D62" w:rsidRDefault="008E3EBA" w:rsidP="001474F6">
      <w:pPr>
        <w:jc w:val="both"/>
      </w:pPr>
      <w:r>
        <w:t>Activities of</w:t>
      </w:r>
      <w:r w:rsidRPr="00CB2D62">
        <w:t xml:space="preserve"> jurists</w:t>
      </w:r>
      <w:r>
        <w:t xml:space="preserve"> – the staff of the </w:t>
      </w:r>
      <w:r w:rsidR="00CB2D62" w:rsidRPr="00CB2D62">
        <w:t>municipality</w:t>
      </w:r>
      <w:r>
        <w:t xml:space="preserve">, are </w:t>
      </w:r>
      <w:r w:rsidR="00CB2D62" w:rsidRPr="00CB2D62">
        <w:t xml:space="preserve">supervised by the </w:t>
      </w:r>
      <w:r>
        <w:t xml:space="preserve">head </w:t>
      </w:r>
      <w:r w:rsidR="00CB2D62" w:rsidRPr="00CB2D62">
        <w:t xml:space="preserve">of the Law department and the director of municipal administration. </w:t>
      </w:r>
      <w:r w:rsidR="00FA4165">
        <w:t>When</w:t>
      </w:r>
      <w:r w:rsidR="00CB2D62" w:rsidRPr="00CB2D62">
        <w:t xml:space="preserve"> legal aid is provided by lawyers or public entities </w:t>
      </w:r>
      <w:r>
        <w:t xml:space="preserve">on </w:t>
      </w:r>
      <w:r w:rsidR="00CB2D62">
        <w:t>bas</w:t>
      </w:r>
      <w:r>
        <w:t>is of a</w:t>
      </w:r>
      <w:r w:rsidR="00CB2D62">
        <w:t xml:space="preserve"> </w:t>
      </w:r>
      <w:r w:rsidR="00CB2D62" w:rsidRPr="00CB2D62">
        <w:t>cont</w:t>
      </w:r>
      <w:r w:rsidR="00CB2D62">
        <w:t>r</w:t>
      </w:r>
      <w:r w:rsidR="00CB2D62" w:rsidRPr="00CB2D62">
        <w:t xml:space="preserve">act, the municipality administration controls </w:t>
      </w:r>
      <w:r>
        <w:t>the</w:t>
      </w:r>
      <w:r w:rsidR="00CB2D62">
        <w:t xml:space="preserve"> </w:t>
      </w:r>
      <w:r w:rsidR="00CB2D62" w:rsidRPr="00CB2D62">
        <w:t>provision</w:t>
      </w:r>
      <w:r w:rsidR="00924AC1">
        <w:t xml:space="preserve"> of legal aid</w:t>
      </w:r>
      <w:r w:rsidR="00CB2D62">
        <w:t xml:space="preserve">, </w:t>
      </w:r>
      <w:r w:rsidR="00CB2D62" w:rsidRPr="00CB2D62">
        <w:t xml:space="preserve">analyses </w:t>
      </w:r>
      <w:r w:rsidR="00924AC1" w:rsidRPr="00924AC1">
        <w:t>complaints</w:t>
      </w:r>
      <w:r w:rsidR="00924AC1">
        <w:t>,</w:t>
      </w:r>
      <w:r w:rsidR="00924AC1" w:rsidRPr="00924AC1">
        <w:t xml:space="preserve"> </w:t>
      </w:r>
      <w:r w:rsidR="00CB2D62" w:rsidRPr="00CB2D62">
        <w:t>and resolve</w:t>
      </w:r>
      <w:r w:rsidR="00CB2D62">
        <w:t>s</w:t>
      </w:r>
      <w:r w:rsidR="00CB2D62" w:rsidRPr="00CB2D62">
        <w:t xml:space="preserve"> </w:t>
      </w:r>
      <w:r w:rsidR="00924AC1">
        <w:t xml:space="preserve">disputes between legal aid providers and </w:t>
      </w:r>
      <w:r w:rsidR="00CB2D62" w:rsidRPr="00CB2D62">
        <w:t>beneficiaries.</w:t>
      </w:r>
    </w:p>
    <w:p w14:paraId="5340AF48" w14:textId="39FE5EEC" w:rsidR="00E74CFE" w:rsidRDefault="00924AC1" w:rsidP="001474F6">
      <w:pPr>
        <w:jc w:val="both"/>
      </w:pPr>
      <w:r>
        <w:t>A</w:t>
      </w:r>
      <w:r w:rsidR="00E74CFE" w:rsidRPr="00626E37">
        <w:t>ctivit</w:t>
      </w:r>
      <w:r>
        <w:t>ies</w:t>
      </w:r>
      <w:r w:rsidR="00E74CFE" w:rsidRPr="00626E37">
        <w:t xml:space="preserve"> of the municipalit</w:t>
      </w:r>
      <w:r>
        <w:t>ies are c</w:t>
      </w:r>
      <w:r w:rsidR="00E74CFE" w:rsidRPr="00626E37">
        <w:t xml:space="preserve">oordinated by SGLAS and monitored by the Ministry of Justice and the Legal Aid Coordination Council. SGLAS provides </w:t>
      </w:r>
      <w:r w:rsidRPr="00626E37">
        <w:t>methodical assistance</w:t>
      </w:r>
      <w:r>
        <w:t xml:space="preserve"> to </w:t>
      </w:r>
      <w:r w:rsidRPr="00626E37">
        <w:t xml:space="preserve">the municipal </w:t>
      </w:r>
      <w:r>
        <w:t>administrations</w:t>
      </w:r>
      <w:r w:rsidR="00E74CFE" w:rsidRPr="00626E37">
        <w:t xml:space="preserve">, analyses their </w:t>
      </w:r>
      <w:r>
        <w:t xml:space="preserve">annual </w:t>
      </w:r>
      <w:r w:rsidR="00E74CFE" w:rsidRPr="00626E37">
        <w:t>reports, generali</w:t>
      </w:r>
      <w:r>
        <w:t>z</w:t>
      </w:r>
      <w:r w:rsidR="00E74CFE" w:rsidRPr="00626E37">
        <w:t>es them</w:t>
      </w:r>
      <w:r>
        <w:t>,</w:t>
      </w:r>
      <w:r w:rsidR="00E74CFE" w:rsidRPr="00626E37">
        <w:t xml:space="preserve"> and presents </w:t>
      </w:r>
      <w:r>
        <w:t xml:space="preserve">the results </w:t>
      </w:r>
      <w:r w:rsidR="00E74CFE" w:rsidRPr="00626E37">
        <w:t>to the Ministry of Justice</w:t>
      </w:r>
      <w:r>
        <w:t xml:space="preserve">. </w:t>
      </w:r>
      <w:r w:rsidR="00BB5422">
        <w:t>The</w:t>
      </w:r>
      <w:r w:rsidR="00BB5422" w:rsidRPr="00626E37">
        <w:t xml:space="preserve"> form and content of the report are defined by the order of the Minister of Justice.</w:t>
      </w:r>
      <w:r w:rsidR="00BB5422">
        <w:t xml:space="preserve"> </w:t>
      </w:r>
      <w:r>
        <w:t>Also</w:t>
      </w:r>
      <w:r w:rsidR="00BB5422">
        <w:t xml:space="preserve">, </w:t>
      </w:r>
      <w:r>
        <w:t>SGLAS</w:t>
      </w:r>
      <w:r w:rsidR="00E74CFE" w:rsidRPr="00626E37">
        <w:t xml:space="preserve"> </w:t>
      </w:r>
      <w:r>
        <w:t>writes recommendations</w:t>
      </w:r>
      <w:r w:rsidR="00BB5422">
        <w:t xml:space="preserve"> </w:t>
      </w:r>
      <w:r w:rsidR="00E74CFE" w:rsidRPr="00626E37">
        <w:t xml:space="preserve">to the municipal institutions </w:t>
      </w:r>
      <w:r w:rsidR="00BB5422">
        <w:t>on how to i</w:t>
      </w:r>
      <w:r w:rsidR="00E74CFE" w:rsidRPr="00626E37">
        <w:t>mprove</w:t>
      </w:r>
      <w:r w:rsidR="00BB5422">
        <w:t xml:space="preserve"> </w:t>
      </w:r>
      <w:r w:rsidR="00E74CFE" w:rsidRPr="00626E37">
        <w:t>the organi</w:t>
      </w:r>
      <w:r w:rsidR="00BB5422">
        <w:t>z</w:t>
      </w:r>
      <w:r w:rsidR="00E74CFE" w:rsidRPr="00626E37">
        <w:t>ation and provision of primary legal aid.</w:t>
      </w:r>
      <w:r w:rsidR="009F5BD6">
        <w:rPr>
          <w:rStyle w:val="FootnoteReference"/>
        </w:rPr>
        <w:footnoteReference w:id="40"/>
      </w:r>
      <w:r w:rsidR="00E74CFE" w:rsidRPr="00626E37">
        <w:t xml:space="preserve"> </w:t>
      </w:r>
    </w:p>
    <w:p w14:paraId="5B5433F8" w14:textId="77777777" w:rsidR="001474F6" w:rsidRDefault="001474F6" w:rsidP="001474F6">
      <w:pPr>
        <w:jc w:val="both"/>
        <w:rPr>
          <w:b/>
          <w:bCs/>
        </w:rPr>
      </w:pPr>
    </w:p>
    <w:p w14:paraId="74664071" w14:textId="485AA156" w:rsidR="003D0A9C" w:rsidRDefault="003D0A9C" w:rsidP="001474F6">
      <w:pPr>
        <w:jc w:val="both"/>
      </w:pPr>
      <w:r>
        <w:rPr>
          <w:b/>
          <w:bCs/>
        </w:rPr>
        <w:t>Secondary legal aid</w:t>
      </w:r>
    </w:p>
    <w:p w14:paraId="437972D6" w14:textId="20ED0B85" w:rsidR="00B8658E" w:rsidRPr="00626E37" w:rsidRDefault="00B8658E" w:rsidP="00C415AF">
      <w:pPr>
        <w:jc w:val="both"/>
      </w:pPr>
      <w:r w:rsidRPr="00626E37">
        <w:t>For the provision of secondary legal aid</w:t>
      </w:r>
      <w:r w:rsidR="00BB5422">
        <w:t>,</w:t>
      </w:r>
      <w:r w:rsidRPr="00626E37">
        <w:t xml:space="preserve"> SGLAS concludes services’ agreements with lawyers </w:t>
      </w:r>
      <w:r w:rsidR="00BB5422">
        <w:t xml:space="preserve">to </w:t>
      </w:r>
      <w:r w:rsidRPr="00626E37">
        <w:t>provid</w:t>
      </w:r>
      <w:r w:rsidR="00BB5422">
        <w:t>e</w:t>
      </w:r>
      <w:r w:rsidRPr="00626E37">
        <w:t xml:space="preserve"> secondary legal aid</w:t>
      </w:r>
      <w:r w:rsidR="00BB5422">
        <w:t xml:space="preserve"> </w:t>
      </w:r>
      <w:r w:rsidR="005241E4">
        <w:t>constantly</w:t>
      </w:r>
      <w:r w:rsidRPr="00C06943">
        <w:t xml:space="preserve">, in </w:t>
      </w:r>
      <w:r w:rsidR="00F75C34">
        <w:t xml:space="preserve">a </w:t>
      </w:r>
      <w:r w:rsidRPr="00C06943">
        <w:t xml:space="preserve">case </w:t>
      </w:r>
      <w:r w:rsidRPr="00626E37">
        <w:t>of necessity</w:t>
      </w:r>
      <w:r w:rsidR="00BB5422">
        <w:t>,</w:t>
      </w:r>
      <w:r w:rsidRPr="00626E37">
        <w:t xml:space="preserve"> or on </w:t>
      </w:r>
      <w:r w:rsidR="002A5A6B">
        <w:t xml:space="preserve">an </w:t>
      </w:r>
      <w:r w:rsidRPr="00626E37">
        <w:rPr>
          <w:i/>
        </w:rPr>
        <w:t>ad hoc</w:t>
      </w:r>
      <w:r w:rsidRPr="00626E37">
        <w:t xml:space="preserve"> basis.</w:t>
      </w:r>
      <w:r w:rsidR="009F5BD6">
        <w:rPr>
          <w:rStyle w:val="FootnoteReference"/>
        </w:rPr>
        <w:footnoteReference w:id="41"/>
      </w:r>
      <w:r w:rsidRPr="00626E37">
        <w:t xml:space="preserve"> </w:t>
      </w:r>
    </w:p>
    <w:p w14:paraId="25375D87" w14:textId="2AAA4AD9" w:rsidR="00B8658E" w:rsidRDefault="00B8658E" w:rsidP="00C415AF">
      <w:pPr>
        <w:jc w:val="both"/>
      </w:pPr>
      <w:r w:rsidRPr="00626E37">
        <w:t xml:space="preserve">The agreement </w:t>
      </w:r>
      <w:r w:rsidR="00BB5422">
        <w:t>specifies</w:t>
      </w:r>
      <w:r w:rsidRPr="00626E37">
        <w:t xml:space="preserve"> the duty of the lawyers to provide secondary legal aid; the conditions of and procedure for fulfilling th</w:t>
      </w:r>
      <w:r w:rsidR="00BB5422">
        <w:t>e</w:t>
      </w:r>
      <w:r w:rsidRPr="00626E37">
        <w:t xml:space="preserve"> duty; </w:t>
      </w:r>
      <w:r w:rsidR="00BB5422">
        <w:t xml:space="preserve">the </w:t>
      </w:r>
      <w:r w:rsidRPr="00626E37">
        <w:t xml:space="preserve">model requirements for professional activities of lawyers in criminal matters and civil/administrative matters; the right of the SGLAS to terminate the agreement in the event of nonfeasance or misfeasance of a lawyer </w:t>
      </w:r>
      <w:r w:rsidR="005241E4">
        <w:t>concerning</w:t>
      </w:r>
      <w:r w:rsidRPr="00626E37">
        <w:t xml:space="preserve"> the provision of secondary legal aid; as well as the fields </w:t>
      </w:r>
      <w:r w:rsidR="00BB5422">
        <w:t xml:space="preserve">of law </w:t>
      </w:r>
      <w:r w:rsidRPr="00626E37">
        <w:t>in which the lawyer undertakes to provide secondary legal aid (specialization) and other conditions.</w:t>
      </w:r>
      <w:r w:rsidR="00A7237C">
        <w:rPr>
          <w:rStyle w:val="FootnoteReference"/>
        </w:rPr>
        <w:footnoteReference w:id="42"/>
      </w:r>
    </w:p>
    <w:p w14:paraId="604689DF" w14:textId="670D6EFC" w:rsidR="00DB239C" w:rsidRDefault="00F2640A" w:rsidP="00C415AF">
      <w:pPr>
        <w:jc w:val="both"/>
      </w:pPr>
      <w:r>
        <w:t>Lists of l</w:t>
      </w:r>
      <w:r w:rsidRPr="00626E37">
        <w:t xml:space="preserve">awyers providing secondary legal aid </w:t>
      </w:r>
      <w:r w:rsidR="00C06943">
        <w:t>con</w:t>
      </w:r>
      <w:r w:rsidR="000A406E">
        <w:t>tinuously</w:t>
      </w:r>
      <w:r w:rsidRPr="00626E37">
        <w:t xml:space="preserve"> or in </w:t>
      </w:r>
      <w:r w:rsidR="00F75C34">
        <w:t xml:space="preserve">a </w:t>
      </w:r>
      <w:r w:rsidRPr="00626E37">
        <w:t xml:space="preserve">case of necessity </w:t>
      </w:r>
      <w:r>
        <w:t>are publicly available</w:t>
      </w:r>
      <w:r w:rsidR="000A406E">
        <w:t xml:space="preserve"> on the website</w:t>
      </w:r>
      <w:r w:rsidRPr="00626E37">
        <w:t>.</w:t>
      </w:r>
      <w:r w:rsidR="000A406E">
        <w:rPr>
          <w:rStyle w:val="FootnoteReference"/>
        </w:rPr>
        <w:footnoteReference w:id="43"/>
      </w:r>
      <w:r w:rsidRPr="00626E37">
        <w:t xml:space="preserve"> </w:t>
      </w:r>
      <w:r w:rsidR="000A406E">
        <w:t>The</w:t>
      </w:r>
      <w:r>
        <w:t xml:space="preserve"> legal aid beneficiary can </w:t>
      </w:r>
      <w:r w:rsidRPr="00F2640A">
        <w:t>choose a lawyer he likes</w:t>
      </w:r>
      <w:r>
        <w:t>.</w:t>
      </w:r>
      <w:r w:rsidR="000A406E">
        <w:rPr>
          <w:rStyle w:val="FootnoteReference"/>
        </w:rPr>
        <w:footnoteReference w:id="44"/>
      </w:r>
      <w:r>
        <w:t xml:space="preserve"> </w:t>
      </w:r>
    </w:p>
    <w:p w14:paraId="4C3A2C90" w14:textId="7DE4C346" w:rsidR="00F2640A" w:rsidRPr="00626E37" w:rsidRDefault="00F75C34" w:rsidP="00C415AF">
      <w:pPr>
        <w:jc w:val="both"/>
      </w:pPr>
      <w:r>
        <w:t>The r</w:t>
      </w:r>
      <w:r w:rsidR="00F2640A" w:rsidRPr="00626E37">
        <w:t>e</w:t>
      </w:r>
      <w:r w:rsidR="00F2640A">
        <w:t>quirements</w:t>
      </w:r>
      <w:r w:rsidR="00F2640A" w:rsidRPr="00626E37">
        <w:t xml:space="preserve"> for the lawyers </w:t>
      </w:r>
      <w:r>
        <w:t xml:space="preserve">to become </w:t>
      </w:r>
      <w:r w:rsidR="00DB239C">
        <w:t xml:space="preserve">legal aid </w:t>
      </w:r>
      <w:r>
        <w:t xml:space="preserve">providers </w:t>
      </w:r>
      <w:r w:rsidR="00F2640A" w:rsidRPr="00626E37">
        <w:t xml:space="preserve">are </w:t>
      </w:r>
      <w:r w:rsidR="00F2640A">
        <w:t>defined</w:t>
      </w:r>
      <w:r w:rsidR="00F2640A" w:rsidRPr="00626E37">
        <w:t xml:space="preserve"> by the </w:t>
      </w:r>
      <w:r>
        <w:t xml:space="preserve">order of the </w:t>
      </w:r>
      <w:r w:rsidR="00F2640A" w:rsidRPr="00626E37">
        <w:t xml:space="preserve">Minister of Justice upon agreement with the </w:t>
      </w:r>
      <w:r w:rsidR="008B6200">
        <w:t>BAR</w:t>
      </w:r>
      <w:r w:rsidR="00F2640A" w:rsidRPr="00626E37">
        <w:t>.</w:t>
      </w:r>
      <w:r w:rsidR="000A406E">
        <w:rPr>
          <w:rStyle w:val="FootnoteReference"/>
        </w:rPr>
        <w:footnoteReference w:id="45"/>
      </w:r>
      <w:r w:rsidR="00F2640A" w:rsidRPr="00626E37">
        <w:t xml:space="preserve"> </w:t>
      </w:r>
      <w:r>
        <w:t xml:space="preserve">The following </w:t>
      </w:r>
      <w:r w:rsidR="005F04C3">
        <w:t xml:space="preserve">selection </w:t>
      </w:r>
      <w:r>
        <w:t>criteria have to be fulfilled by the lawyer to be included</w:t>
      </w:r>
      <w:r w:rsidR="00F2640A" w:rsidRPr="00626E37">
        <w:t xml:space="preserve"> in the list </w:t>
      </w:r>
      <w:r>
        <w:t>of legal aid providers:</w:t>
      </w:r>
    </w:p>
    <w:p w14:paraId="6ECC6C06" w14:textId="4BBB71BA" w:rsidR="00F2640A" w:rsidRPr="00626E37" w:rsidRDefault="00A80D11" w:rsidP="00A80D11">
      <w:pPr>
        <w:pStyle w:val="ListParagraph"/>
        <w:numPr>
          <w:ilvl w:val="0"/>
          <w:numId w:val="15"/>
        </w:numPr>
        <w:spacing w:after="0"/>
        <w:jc w:val="both"/>
      </w:pPr>
      <w:r>
        <w:rPr>
          <w:lang w:val="en-US"/>
        </w:rPr>
        <w:t>T</w:t>
      </w:r>
      <w:r w:rsidRPr="00A80D11">
        <w:rPr>
          <w:lang w:val="en-US"/>
        </w:rPr>
        <w:t xml:space="preserve">he </w:t>
      </w:r>
      <w:r w:rsidR="00F75C34" w:rsidRPr="00A80D11">
        <w:rPr>
          <w:lang w:val="en-US"/>
        </w:rPr>
        <w:t>lawyer</w:t>
      </w:r>
      <w:r w:rsidRPr="00A80D11">
        <w:rPr>
          <w:lang w:val="en-US"/>
        </w:rPr>
        <w:t xml:space="preserve"> has to be a BAR member</w:t>
      </w:r>
      <w:r>
        <w:t>.</w:t>
      </w:r>
    </w:p>
    <w:p w14:paraId="77DD3706" w14:textId="2A52CEB3" w:rsidR="00A80D11" w:rsidRDefault="00A80D11" w:rsidP="00A80D11">
      <w:pPr>
        <w:pStyle w:val="ListParagraph"/>
        <w:numPr>
          <w:ilvl w:val="0"/>
          <w:numId w:val="15"/>
        </w:numPr>
        <w:spacing w:after="0"/>
        <w:jc w:val="both"/>
      </w:pPr>
      <w:r>
        <w:t>D</w:t>
      </w:r>
      <w:r w:rsidR="000174D6" w:rsidRPr="000174D6">
        <w:t>uring the last 5 years his contract with SGLAS has not been terminated for non-</w:t>
      </w:r>
      <w:proofErr w:type="spellStart"/>
      <w:r w:rsidR="005F04C3" w:rsidRPr="000174D6">
        <w:t>fulfil</w:t>
      </w:r>
      <w:r w:rsidR="005F04C3">
        <w:t>lm</w:t>
      </w:r>
      <w:r w:rsidR="005F04C3" w:rsidRPr="000174D6">
        <w:t>ent</w:t>
      </w:r>
      <w:proofErr w:type="spellEnd"/>
      <w:r w:rsidR="000174D6" w:rsidRPr="000174D6">
        <w:t xml:space="preserve"> of </w:t>
      </w:r>
      <w:r w:rsidR="005F04C3">
        <w:t xml:space="preserve">the </w:t>
      </w:r>
      <w:r w:rsidR="000174D6" w:rsidRPr="000174D6">
        <w:t>contractual obligations</w:t>
      </w:r>
      <w:r w:rsidR="00F2640A" w:rsidRPr="00626E37">
        <w:t>.</w:t>
      </w:r>
    </w:p>
    <w:p w14:paraId="79AC07D5" w14:textId="4981D135" w:rsidR="00F2640A" w:rsidRDefault="00A80D11" w:rsidP="00A80D11">
      <w:pPr>
        <w:pStyle w:val="ListParagraph"/>
        <w:numPr>
          <w:ilvl w:val="0"/>
          <w:numId w:val="15"/>
        </w:numPr>
        <w:spacing w:after="0"/>
        <w:jc w:val="both"/>
      </w:pPr>
      <w:r>
        <w:t>The lawyer does not have</w:t>
      </w:r>
      <w:r w:rsidRPr="00A80D11">
        <w:t xml:space="preserve"> valid disciplinary sanctions</w:t>
      </w:r>
      <w:r>
        <w:t>.</w:t>
      </w:r>
    </w:p>
    <w:p w14:paraId="68481BCD" w14:textId="0308F401" w:rsidR="00F2640A" w:rsidRDefault="00F2640A" w:rsidP="00C415AF">
      <w:pPr>
        <w:spacing w:after="0"/>
        <w:jc w:val="both"/>
      </w:pPr>
    </w:p>
    <w:p w14:paraId="58751781" w14:textId="39C5B10E" w:rsidR="00DB239C" w:rsidRDefault="005F04C3" w:rsidP="00B12CE9">
      <w:pPr>
        <w:spacing w:after="0"/>
        <w:jc w:val="both"/>
      </w:pPr>
      <w:r>
        <w:t>T</w:t>
      </w:r>
      <w:r w:rsidR="00DB239C" w:rsidRPr="00DB239C">
        <w:t>he lawyer</w:t>
      </w:r>
      <w:r>
        <w:t>s</w:t>
      </w:r>
      <w:r w:rsidR="00DB239C" w:rsidRPr="00DB239C">
        <w:t xml:space="preserve"> </w:t>
      </w:r>
      <w:r>
        <w:t xml:space="preserve">who want to provide legal aid constantly have to </w:t>
      </w:r>
      <w:proofErr w:type="spellStart"/>
      <w:r>
        <w:t>fulfill</w:t>
      </w:r>
      <w:proofErr w:type="spellEnd"/>
      <w:r>
        <w:t xml:space="preserve"> an additional requirement. T</w:t>
      </w:r>
      <w:r w:rsidR="00DB239C" w:rsidRPr="00DB239C">
        <w:t>hey have to pass a special selection exam.</w:t>
      </w:r>
      <w:r w:rsidR="00135DDE">
        <w:rPr>
          <w:rStyle w:val="FootnoteReference"/>
        </w:rPr>
        <w:footnoteReference w:id="46"/>
      </w:r>
      <w:r w:rsidR="00B12CE9">
        <w:t xml:space="preserve"> </w:t>
      </w:r>
      <w:r w:rsidR="00DB239C" w:rsidRPr="00626E37">
        <w:t xml:space="preserve">The examination commission of </w:t>
      </w:r>
      <w:r w:rsidR="00135DDE">
        <w:t>5</w:t>
      </w:r>
      <w:r w:rsidR="00DB239C" w:rsidRPr="00626E37">
        <w:t xml:space="preserve"> persons is formed by the </w:t>
      </w:r>
      <w:r w:rsidR="00135DDE">
        <w:t>order of the Minister of Justice</w:t>
      </w:r>
      <w:r w:rsidR="00DB239C" w:rsidRPr="00626E37">
        <w:t>.</w:t>
      </w:r>
      <w:r w:rsidR="00F2321A">
        <w:rPr>
          <w:rStyle w:val="FootnoteReference"/>
        </w:rPr>
        <w:footnoteReference w:id="47"/>
      </w:r>
      <w:r w:rsidR="00DB239C" w:rsidRPr="00626E37">
        <w:t xml:space="preserve"> </w:t>
      </w:r>
      <w:r w:rsidR="00567F38">
        <w:t>During t</w:t>
      </w:r>
      <w:r w:rsidR="00567F38" w:rsidRPr="00567F38">
        <w:t xml:space="preserve">he selection </w:t>
      </w:r>
      <w:r w:rsidR="00567F38">
        <w:t>procedure</w:t>
      </w:r>
      <w:r>
        <w:t>,</w:t>
      </w:r>
      <w:r w:rsidR="00567F38">
        <w:t xml:space="preserve"> the</w:t>
      </w:r>
      <w:r w:rsidR="00567F38" w:rsidRPr="00567F38">
        <w:t xml:space="preserve"> lawyer'</w:t>
      </w:r>
      <w:r>
        <w:t>s</w:t>
      </w:r>
      <w:r w:rsidR="00567F38" w:rsidRPr="00567F38">
        <w:t xml:space="preserve"> ability to provide secondary legal aid and </w:t>
      </w:r>
      <w:r>
        <w:t xml:space="preserve">his </w:t>
      </w:r>
      <w:r w:rsidR="00567F38" w:rsidRPr="00567F38">
        <w:t>advantages</w:t>
      </w:r>
      <w:r w:rsidR="00567F38">
        <w:t xml:space="preserve"> are</w:t>
      </w:r>
      <w:r w:rsidR="00567F38" w:rsidRPr="00567F38">
        <w:t xml:space="preserve"> </w:t>
      </w:r>
      <w:r>
        <w:t>evaluated</w:t>
      </w:r>
      <w:r w:rsidR="00567F38">
        <w:t>.</w:t>
      </w:r>
    </w:p>
    <w:p w14:paraId="650DA245" w14:textId="77777777" w:rsidR="00B12CE9" w:rsidRPr="005F04C3" w:rsidRDefault="00B12CE9" w:rsidP="00B12CE9">
      <w:pPr>
        <w:spacing w:after="0"/>
        <w:jc w:val="both"/>
      </w:pPr>
    </w:p>
    <w:p w14:paraId="2E9F6FC0" w14:textId="1BB14AC5" w:rsidR="00DB239C" w:rsidRDefault="008B4FB2" w:rsidP="00C415AF">
      <w:pPr>
        <w:spacing w:after="0"/>
        <w:jc w:val="both"/>
      </w:pPr>
      <w:r w:rsidRPr="008B4FB2">
        <w:t>Unlike lawyers</w:t>
      </w:r>
      <w:r>
        <w:t xml:space="preserve"> providing legal aid continuously or in case of necessity</w:t>
      </w:r>
      <w:r w:rsidRPr="008B4FB2">
        <w:t xml:space="preserve">, there is no requirement for lawyers providing </w:t>
      </w:r>
      <w:r>
        <w:t xml:space="preserve">legal aid </w:t>
      </w:r>
      <w:r w:rsidRPr="00B8658E">
        <w:t xml:space="preserve">on </w:t>
      </w:r>
      <w:r>
        <w:t xml:space="preserve">an </w:t>
      </w:r>
      <w:r w:rsidRPr="003D26A1">
        <w:rPr>
          <w:i/>
          <w:iCs/>
        </w:rPr>
        <w:t>ad hoc</w:t>
      </w:r>
      <w:r w:rsidRPr="00B8658E">
        <w:t xml:space="preserve"> basis</w:t>
      </w:r>
      <w:r w:rsidRPr="008B4FB2">
        <w:t xml:space="preserve"> </w:t>
      </w:r>
      <w:r>
        <w:t>t</w:t>
      </w:r>
      <w:r w:rsidRPr="008B4FB2">
        <w:t>o have no valid disciplinary sanctions.</w:t>
      </w:r>
      <w:r>
        <w:rPr>
          <w:rStyle w:val="FootnoteReference"/>
        </w:rPr>
        <w:footnoteReference w:id="48"/>
      </w:r>
    </w:p>
    <w:p w14:paraId="3D2D0441" w14:textId="4F916877" w:rsidR="00DB239C" w:rsidRDefault="00DB239C" w:rsidP="00C415AF">
      <w:pPr>
        <w:jc w:val="both"/>
      </w:pPr>
    </w:p>
    <w:p w14:paraId="328E21F1" w14:textId="0D57B2A5" w:rsidR="003D26A1" w:rsidRDefault="005F04C3" w:rsidP="00C415AF">
      <w:pPr>
        <w:jc w:val="both"/>
      </w:pPr>
      <w:r w:rsidRPr="001A36CD">
        <w:t>While p</w:t>
      </w:r>
      <w:r w:rsidR="003D26A1" w:rsidRPr="001A36CD">
        <w:t>erforming</w:t>
      </w:r>
      <w:r w:rsidR="003D26A1" w:rsidRPr="003D26A1">
        <w:t xml:space="preserve"> their duties </w:t>
      </w:r>
      <w:r>
        <w:t xml:space="preserve">the </w:t>
      </w:r>
      <w:r w:rsidR="003D26A1" w:rsidRPr="003D26A1">
        <w:t>lawyers have to comply with the requirements defined in the l</w:t>
      </w:r>
      <w:r w:rsidR="007C0591">
        <w:t>aws</w:t>
      </w:r>
      <w:r w:rsidR="003D26A1" w:rsidRPr="003D26A1">
        <w:t xml:space="preserve"> </w:t>
      </w:r>
      <w:r w:rsidR="007C0591">
        <w:t>on</w:t>
      </w:r>
      <w:r w:rsidR="003D26A1" w:rsidRPr="003D26A1">
        <w:t xml:space="preserve"> </w:t>
      </w:r>
      <w:r w:rsidR="007C0591">
        <w:t xml:space="preserve">the </w:t>
      </w:r>
      <w:r w:rsidR="003D26A1" w:rsidRPr="003D26A1">
        <w:t>activities of lawyers (Law of the BAR, The Statute of the BAR, Code of Lawyers’ ethics</w:t>
      </w:r>
      <w:r w:rsidR="005241E4">
        <w:t>, etc.</w:t>
      </w:r>
      <w:r w:rsidR="003D26A1" w:rsidRPr="003D26A1">
        <w:t>)</w:t>
      </w:r>
      <w:r w:rsidR="003D26A1">
        <w:t>;</w:t>
      </w:r>
      <w:r w:rsidR="003D26A1" w:rsidRPr="003D26A1">
        <w:t xml:space="preserve"> have to adhere to the principles of freedom of activities, independence and other; have to comply with the model requirements approved by the</w:t>
      </w:r>
      <w:r w:rsidR="007C0591">
        <w:t xml:space="preserve"> order of the</w:t>
      </w:r>
      <w:r w:rsidR="003D26A1" w:rsidRPr="003D26A1">
        <w:t xml:space="preserve"> Minister of Justice</w:t>
      </w:r>
      <w:r w:rsidR="007C0591">
        <w:t xml:space="preserve">; have </w:t>
      </w:r>
      <w:r w:rsidR="007C0591" w:rsidRPr="007C0591">
        <w:t xml:space="preserve">to preserve the confidentiality of the information </w:t>
      </w:r>
      <w:r w:rsidR="003D26A1" w:rsidRPr="003D26A1">
        <w:t>obtained</w:t>
      </w:r>
      <w:r w:rsidR="003D26A1">
        <w:t xml:space="preserve">; </w:t>
      </w:r>
      <w:r w:rsidR="003D26A1" w:rsidRPr="003D26A1">
        <w:t xml:space="preserve">have to cover damages caused by </w:t>
      </w:r>
      <w:r w:rsidR="007C0591">
        <w:t xml:space="preserve">the </w:t>
      </w:r>
      <w:r w:rsidR="003D26A1" w:rsidRPr="003D26A1">
        <w:t>unlawful acts or malpractice</w:t>
      </w:r>
      <w:r w:rsidR="003D26A1">
        <w:t xml:space="preserve">; </w:t>
      </w:r>
      <w:r w:rsidR="003D26A1" w:rsidRPr="003D26A1">
        <w:t xml:space="preserve">have to enhance </w:t>
      </w:r>
      <w:r w:rsidR="007C0591">
        <w:t xml:space="preserve">his </w:t>
      </w:r>
      <w:r w:rsidR="003D26A1" w:rsidRPr="003D26A1">
        <w:t xml:space="preserve">qualification and develop professional </w:t>
      </w:r>
      <w:r w:rsidR="007C0591">
        <w:t xml:space="preserve">skills </w:t>
      </w:r>
      <w:r w:rsidR="003D26A1" w:rsidRPr="003D26A1">
        <w:t>regularly.</w:t>
      </w:r>
      <w:r w:rsidR="00636D8F">
        <w:rPr>
          <w:rStyle w:val="FootnoteReference"/>
        </w:rPr>
        <w:footnoteReference w:id="49"/>
      </w:r>
    </w:p>
    <w:p w14:paraId="58859DBE" w14:textId="1C8605D4" w:rsidR="00C35941" w:rsidRPr="001A36CD" w:rsidRDefault="00FF7E2F" w:rsidP="00C415AF">
      <w:pPr>
        <w:jc w:val="both"/>
        <w:rPr>
          <w:color w:val="FF0000"/>
        </w:rPr>
      </w:pPr>
      <w:r w:rsidRPr="00626E37">
        <w:t xml:space="preserve">The Council of the </w:t>
      </w:r>
      <w:r w:rsidR="00C35941">
        <w:t>BAR</w:t>
      </w:r>
      <w:r w:rsidR="008B6200">
        <w:t xml:space="preserve"> </w:t>
      </w:r>
      <w:r w:rsidRPr="00626E37">
        <w:t xml:space="preserve">has approved the order for evaluation and enhancement of the quality of </w:t>
      </w:r>
      <w:r w:rsidR="008B6200">
        <w:t xml:space="preserve">all </w:t>
      </w:r>
      <w:r w:rsidRPr="00626E37">
        <w:t xml:space="preserve">lawyers and </w:t>
      </w:r>
      <w:r w:rsidR="008B6200">
        <w:t xml:space="preserve">assistants of the </w:t>
      </w:r>
      <w:r w:rsidRPr="00626E37">
        <w:t>lawyer.</w:t>
      </w:r>
      <w:r w:rsidR="001A36CD">
        <w:rPr>
          <w:rStyle w:val="FootnoteReference"/>
        </w:rPr>
        <w:footnoteReference w:id="50"/>
      </w:r>
      <w:r w:rsidRPr="00626E37">
        <w:t xml:space="preserve"> </w:t>
      </w:r>
      <w:r w:rsidR="008B6200">
        <w:t>T</w:t>
      </w:r>
      <w:r w:rsidRPr="00626E37">
        <w:t xml:space="preserve">he </w:t>
      </w:r>
      <w:r w:rsidR="007C0591">
        <w:t>o</w:t>
      </w:r>
      <w:r w:rsidRPr="00626E37">
        <w:t>rder</w:t>
      </w:r>
      <w:r w:rsidR="008B6200">
        <w:t xml:space="preserve"> foresees </w:t>
      </w:r>
      <w:r w:rsidRPr="00626E37">
        <w:t xml:space="preserve">that the lawyer who is practicing as a lawyer not more than 5 years has to collect </w:t>
      </w:r>
      <w:r w:rsidR="00F907BC">
        <w:rPr>
          <w:lang w:val="en-US"/>
        </w:rPr>
        <w:t>8</w:t>
      </w:r>
      <w:r w:rsidRPr="00626E37">
        <w:t xml:space="preserve"> point</w:t>
      </w:r>
      <w:r w:rsidR="008B6200">
        <w:t>s</w:t>
      </w:r>
      <w:r w:rsidRPr="00626E37">
        <w:t xml:space="preserve"> each year and the lawyer who is practicing as a lawyer </w:t>
      </w:r>
      <w:r w:rsidR="008B6200">
        <w:t xml:space="preserve">for </w:t>
      </w:r>
      <w:r w:rsidRPr="00626E37">
        <w:t xml:space="preserve">more than 5 years has to collect </w:t>
      </w:r>
      <w:r w:rsidR="00F907BC">
        <w:t>4</w:t>
      </w:r>
      <w:r w:rsidRPr="00626E37">
        <w:t xml:space="preserve"> point</w:t>
      </w:r>
      <w:r w:rsidR="008B6200">
        <w:t>s</w:t>
      </w:r>
      <w:r w:rsidRPr="00626E37">
        <w:t xml:space="preserve"> each year, whereas, the lawyer’s assistance has to collect 1</w:t>
      </w:r>
      <w:r w:rsidR="00F907BC">
        <w:t>6</w:t>
      </w:r>
      <w:r w:rsidRPr="00626E37">
        <w:t xml:space="preserve"> points each year. The points do not have to </w:t>
      </w:r>
      <w:r w:rsidRPr="003E4A70">
        <w:t>be collected by</w:t>
      </w:r>
      <w:r w:rsidR="00C35941" w:rsidRPr="003E4A70">
        <w:t xml:space="preserve"> t</w:t>
      </w:r>
      <w:r w:rsidR="008B6200" w:rsidRPr="003E4A70">
        <w:t>he</w:t>
      </w:r>
      <w:r w:rsidRPr="003E4A70">
        <w:t xml:space="preserve"> lawyers </w:t>
      </w:r>
      <w:r w:rsidR="001A36CD" w:rsidRPr="003E4A70">
        <w:t>who lecture in the field of law at a high school</w:t>
      </w:r>
      <w:r w:rsidR="003E4A70" w:rsidRPr="003E4A70">
        <w:t>;</w:t>
      </w:r>
      <w:r w:rsidRPr="003E4A70">
        <w:t xml:space="preserve"> </w:t>
      </w:r>
      <w:r w:rsidR="003E4A70" w:rsidRPr="003E4A70">
        <w:t xml:space="preserve">are </w:t>
      </w:r>
      <w:r w:rsidRPr="003E4A70">
        <w:t>members of the B</w:t>
      </w:r>
      <w:r w:rsidR="00C35941" w:rsidRPr="003E4A70">
        <w:t>AR’s</w:t>
      </w:r>
      <w:r w:rsidRPr="003E4A70">
        <w:t xml:space="preserve"> self-governmental structures</w:t>
      </w:r>
      <w:r w:rsidR="003E4A70" w:rsidRPr="003E4A70">
        <w:t>;</w:t>
      </w:r>
      <w:r w:rsidRPr="003E4A70">
        <w:t xml:space="preserve"> </w:t>
      </w:r>
      <w:r w:rsidR="003E4A70" w:rsidRPr="003E4A70">
        <w:t>work on Law projects, if commissioned by the BAR;</w:t>
      </w:r>
      <w:r w:rsidRPr="003E4A70">
        <w:t xml:space="preserve"> </w:t>
      </w:r>
      <w:r w:rsidR="003E4A70" w:rsidRPr="003E4A70">
        <w:t xml:space="preserve">and </w:t>
      </w:r>
      <w:r w:rsidR="00C35941" w:rsidRPr="003E4A70">
        <w:t xml:space="preserve">lecture in seminars organized by the BAR </w:t>
      </w:r>
      <w:r w:rsidR="00F907BC" w:rsidRPr="003E4A70">
        <w:t xml:space="preserve">at least twice </w:t>
      </w:r>
      <w:r w:rsidR="00C35941" w:rsidRPr="003E4A70">
        <w:t>per year</w:t>
      </w:r>
      <w:r w:rsidRPr="003E4A70">
        <w:t>.</w:t>
      </w:r>
      <w:r w:rsidRPr="001A36CD">
        <w:rPr>
          <w:color w:val="FF0000"/>
        </w:rPr>
        <w:t xml:space="preserve"> </w:t>
      </w:r>
    </w:p>
    <w:p w14:paraId="2DCFFB09" w14:textId="30061C0C" w:rsidR="00FF7E2F" w:rsidRPr="00626E37" w:rsidRDefault="00FF7E2F" w:rsidP="00C415AF">
      <w:pPr>
        <w:jc w:val="both"/>
      </w:pPr>
      <w:r w:rsidRPr="00626E37">
        <w:t>The points can be collected for participation in seminars, conferences, discussions, round table discussions</w:t>
      </w:r>
      <w:r w:rsidR="00C35941">
        <w:t>,</w:t>
      </w:r>
      <w:r w:rsidRPr="00626E37">
        <w:t xml:space="preserve"> or other events</w:t>
      </w:r>
      <w:r w:rsidR="00C35941">
        <w:t xml:space="preserve"> in various fields of law </w:t>
      </w:r>
      <w:r w:rsidRPr="00626E37">
        <w:t>(as participant or speaker); for writing articles in media, monographs, textbooks for students</w:t>
      </w:r>
      <w:r w:rsidR="00C35941">
        <w:t xml:space="preserve">, </w:t>
      </w:r>
      <w:r w:rsidRPr="00626E37">
        <w:t xml:space="preserve">and other publications in </w:t>
      </w:r>
      <w:r w:rsidR="0068096C">
        <w:t xml:space="preserve">various </w:t>
      </w:r>
      <w:r w:rsidRPr="00626E37">
        <w:t xml:space="preserve">law field; </w:t>
      </w:r>
      <w:r w:rsidR="0068096C">
        <w:t xml:space="preserve">for </w:t>
      </w:r>
      <w:r w:rsidRPr="00626E37">
        <w:t>organiz</w:t>
      </w:r>
      <w:r w:rsidR="0068096C">
        <w:t>ing</w:t>
      </w:r>
      <w:r w:rsidRPr="00626E37">
        <w:t xml:space="preserve"> the e</w:t>
      </w:r>
      <w:r w:rsidR="00FA16A8">
        <w:t>vents</w:t>
      </w:r>
      <w:r w:rsidRPr="00626E37">
        <w:t xml:space="preserve"> of the BAR; for </w:t>
      </w:r>
      <w:r w:rsidRPr="00626E37">
        <w:rPr>
          <w:i/>
        </w:rPr>
        <w:t>Pro Bono</w:t>
      </w:r>
      <w:r w:rsidRPr="00626E37">
        <w:t xml:space="preserve"> practice; </w:t>
      </w:r>
      <w:r w:rsidR="0068096C">
        <w:t xml:space="preserve">for </w:t>
      </w:r>
      <w:r w:rsidRPr="00626E37">
        <w:t xml:space="preserve">other activities approved by the BAR Council. Activities have </w:t>
      </w:r>
      <w:r w:rsidR="0068096C">
        <w:t xml:space="preserve">a </w:t>
      </w:r>
      <w:r w:rsidRPr="00626E37">
        <w:t>different</w:t>
      </w:r>
      <w:r w:rsidR="0068096C">
        <w:t xml:space="preserve"> number</w:t>
      </w:r>
      <w:r w:rsidRPr="00626E37">
        <w:t xml:space="preserve"> of points.</w:t>
      </w:r>
      <w:r w:rsidR="00D62ACC">
        <w:rPr>
          <w:rStyle w:val="FootnoteReference"/>
        </w:rPr>
        <w:footnoteReference w:id="51"/>
      </w:r>
      <w:r w:rsidRPr="00626E37">
        <w:t xml:space="preserve"> </w:t>
      </w:r>
    </w:p>
    <w:p w14:paraId="2B7B8D1E" w14:textId="77777777" w:rsidR="001474F6" w:rsidRPr="00626E37" w:rsidRDefault="001474F6" w:rsidP="001474F6">
      <w:pPr>
        <w:jc w:val="both"/>
        <w:rPr>
          <w:i/>
        </w:rPr>
      </w:pPr>
      <w:r w:rsidRPr="00626E37">
        <w:t>Supervision of legal aid providers</w:t>
      </w:r>
      <w:r w:rsidRPr="00626E37">
        <w:rPr>
          <w:i/>
        </w:rPr>
        <w:t xml:space="preserve"> </w:t>
      </w:r>
      <w:r w:rsidRPr="00626E37">
        <w:t>is carried out by:</w:t>
      </w:r>
    </w:p>
    <w:p w14:paraId="05AE65E5" w14:textId="6AFD3DA8" w:rsidR="00CB138C" w:rsidRPr="00626E37" w:rsidRDefault="001474F6" w:rsidP="00CB138C">
      <w:pPr>
        <w:widowControl w:val="0"/>
        <w:numPr>
          <w:ilvl w:val="0"/>
          <w:numId w:val="3"/>
        </w:numPr>
        <w:spacing w:after="200" w:line="276" w:lineRule="auto"/>
        <w:ind w:hanging="360"/>
        <w:contextualSpacing/>
        <w:jc w:val="both"/>
      </w:pPr>
      <w:r w:rsidRPr="00626E37">
        <w:t xml:space="preserve">SGLAS resolves beneficiaries’ complaints </w:t>
      </w:r>
      <w:r w:rsidR="0068096C">
        <w:t>regarding</w:t>
      </w:r>
      <w:r w:rsidRPr="00626E37">
        <w:t xml:space="preserve"> the actions of legal aid providers</w:t>
      </w:r>
      <w:r w:rsidR="0068096C">
        <w:t>. It assesses</w:t>
      </w:r>
      <w:r w:rsidR="00CB138C">
        <w:t xml:space="preserve"> </w:t>
      </w:r>
      <w:r w:rsidR="00CB138C" w:rsidRPr="00626E37">
        <w:t>whether the lawyer did not breach the agreement on the provision of secondary legal aid.</w:t>
      </w:r>
    </w:p>
    <w:p w14:paraId="705F16B2" w14:textId="34772D74" w:rsidR="00CB138C" w:rsidRPr="00626E37" w:rsidRDefault="001474F6" w:rsidP="00CB138C">
      <w:pPr>
        <w:widowControl w:val="0"/>
        <w:numPr>
          <w:ilvl w:val="0"/>
          <w:numId w:val="3"/>
        </w:numPr>
        <w:spacing w:after="200" w:line="276" w:lineRule="auto"/>
        <w:ind w:hanging="360"/>
        <w:contextualSpacing/>
        <w:jc w:val="both"/>
      </w:pPr>
      <w:r w:rsidRPr="00626E37">
        <w:t>Lithuanian BAR</w:t>
      </w:r>
      <w:r w:rsidR="0068096C">
        <w:t xml:space="preserve"> </w:t>
      </w:r>
      <w:r w:rsidR="0073357C" w:rsidRPr="0073357C">
        <w:t xml:space="preserve">resolves beneficiaries’ complaints </w:t>
      </w:r>
      <w:r w:rsidR="0068096C">
        <w:t xml:space="preserve">regarding the quality of legal aid. It </w:t>
      </w:r>
      <w:r w:rsidRPr="00626E37">
        <w:t>verif</w:t>
      </w:r>
      <w:r w:rsidR="0068096C">
        <w:t>ies</w:t>
      </w:r>
      <w:r w:rsidR="0073357C">
        <w:t xml:space="preserve"> </w:t>
      </w:r>
      <w:r w:rsidR="00CB138C" w:rsidRPr="00626E37">
        <w:t>whether the client was provided with quality secondary legal aid</w:t>
      </w:r>
      <w:r w:rsidR="00CB138C">
        <w:t>.</w:t>
      </w:r>
    </w:p>
    <w:p w14:paraId="2E30F580" w14:textId="77777777" w:rsidR="00263DDF" w:rsidRDefault="00263DDF" w:rsidP="00263DDF">
      <w:pPr>
        <w:jc w:val="both"/>
      </w:pPr>
    </w:p>
    <w:p w14:paraId="21A92A8C" w14:textId="1AA9D394" w:rsidR="001474F6" w:rsidRPr="00626E37" w:rsidRDefault="0068096C" w:rsidP="00263DDF">
      <w:pPr>
        <w:jc w:val="both"/>
        <w:rPr>
          <w:color w:val="000000"/>
        </w:rPr>
      </w:pPr>
      <w:r w:rsidRPr="0068096C">
        <w:rPr>
          <w:color w:val="000000"/>
        </w:rPr>
        <w:t>According to the agreements with the lawyers providing secondary legal aid the SGLAS performing supervision of activities of lawyers has the right</w:t>
      </w:r>
      <w:r w:rsidR="001474F6" w:rsidRPr="00626E37">
        <w:rPr>
          <w:color w:val="000000"/>
        </w:rPr>
        <w:t>:</w:t>
      </w:r>
    </w:p>
    <w:p w14:paraId="71D21054" w14:textId="4F57721E" w:rsidR="001474F6" w:rsidRPr="00626E37" w:rsidRDefault="001474F6" w:rsidP="001474F6">
      <w:pPr>
        <w:pStyle w:val="ListParagraph"/>
        <w:numPr>
          <w:ilvl w:val="0"/>
          <w:numId w:val="5"/>
        </w:numPr>
        <w:spacing w:after="200" w:line="276" w:lineRule="auto"/>
        <w:jc w:val="both"/>
        <w:rPr>
          <w:color w:val="000000"/>
        </w:rPr>
      </w:pPr>
      <w:r w:rsidRPr="00626E37">
        <w:rPr>
          <w:color w:val="000000"/>
        </w:rPr>
        <w:lastRenderedPageBreak/>
        <w:t xml:space="preserve">to check out whether the lawyer </w:t>
      </w:r>
      <w:r w:rsidR="006D6944">
        <w:rPr>
          <w:color w:val="000000"/>
        </w:rPr>
        <w:t>continuously providing legal aid</w:t>
      </w:r>
      <w:r w:rsidRPr="00626E37">
        <w:rPr>
          <w:color w:val="000000"/>
        </w:rPr>
        <w:t xml:space="preserve"> do</w:t>
      </w:r>
      <w:r w:rsidR="0068096C">
        <w:rPr>
          <w:color w:val="000000"/>
        </w:rPr>
        <w:t>es</w:t>
      </w:r>
      <w:r w:rsidRPr="00626E37">
        <w:rPr>
          <w:color w:val="000000"/>
        </w:rPr>
        <w:t xml:space="preserve"> not provide legal services to pe</w:t>
      </w:r>
      <w:r w:rsidR="00D02D82">
        <w:rPr>
          <w:color w:val="000000"/>
        </w:rPr>
        <w:t>ople</w:t>
      </w:r>
      <w:r w:rsidRPr="00626E37">
        <w:rPr>
          <w:color w:val="000000"/>
        </w:rPr>
        <w:t xml:space="preserve"> </w:t>
      </w:r>
      <w:r w:rsidR="0068096C">
        <w:rPr>
          <w:color w:val="000000"/>
        </w:rPr>
        <w:t>who are not</w:t>
      </w:r>
      <w:r w:rsidR="00D02D82">
        <w:rPr>
          <w:color w:val="000000"/>
        </w:rPr>
        <w:t xml:space="preserve"> legal aid beneficiaries</w:t>
      </w:r>
      <w:r w:rsidRPr="00626E37">
        <w:rPr>
          <w:color w:val="000000"/>
        </w:rPr>
        <w:t xml:space="preserve">; </w:t>
      </w:r>
    </w:p>
    <w:p w14:paraId="22C94DB2" w14:textId="133CE257" w:rsidR="001474F6" w:rsidRPr="00626E37" w:rsidRDefault="001474F6" w:rsidP="001474F6">
      <w:pPr>
        <w:pStyle w:val="ListParagraph"/>
        <w:numPr>
          <w:ilvl w:val="0"/>
          <w:numId w:val="5"/>
        </w:numPr>
        <w:spacing w:after="200" w:line="276" w:lineRule="auto"/>
        <w:jc w:val="both"/>
        <w:rPr>
          <w:color w:val="000000"/>
        </w:rPr>
      </w:pPr>
      <w:r w:rsidRPr="00626E37">
        <w:rPr>
          <w:color w:val="000000"/>
        </w:rPr>
        <w:t>to check out whether the</w:t>
      </w:r>
      <w:r w:rsidR="00D02D82">
        <w:rPr>
          <w:color w:val="000000"/>
        </w:rPr>
        <w:t xml:space="preserve"> legal aid </w:t>
      </w:r>
      <w:r w:rsidRPr="00626E37">
        <w:rPr>
          <w:color w:val="000000"/>
        </w:rPr>
        <w:t>lawyer do</w:t>
      </w:r>
      <w:r w:rsidR="00D02D82">
        <w:rPr>
          <w:color w:val="000000"/>
        </w:rPr>
        <w:t>es</w:t>
      </w:r>
      <w:r w:rsidRPr="00626E37">
        <w:rPr>
          <w:color w:val="000000"/>
        </w:rPr>
        <w:t xml:space="preserve"> </w:t>
      </w:r>
      <w:r w:rsidR="00263DDF" w:rsidRPr="00626E37">
        <w:rPr>
          <w:color w:val="000000"/>
        </w:rPr>
        <w:t>not</w:t>
      </w:r>
      <w:r w:rsidRPr="00626E37">
        <w:rPr>
          <w:color w:val="000000"/>
        </w:rPr>
        <w:t xml:space="preserve"> get </w:t>
      </w:r>
      <w:r w:rsidR="00D02D82">
        <w:rPr>
          <w:color w:val="000000"/>
        </w:rPr>
        <w:t>additional remuneration from</w:t>
      </w:r>
      <w:r w:rsidRPr="00626E37">
        <w:rPr>
          <w:color w:val="000000"/>
        </w:rPr>
        <w:t xml:space="preserve"> the </w:t>
      </w:r>
      <w:r w:rsidR="00D02D82">
        <w:rPr>
          <w:color w:val="000000"/>
        </w:rPr>
        <w:t>legal aid beneficiary</w:t>
      </w:r>
      <w:r w:rsidRPr="00626E37">
        <w:rPr>
          <w:color w:val="000000"/>
        </w:rPr>
        <w:t>;</w:t>
      </w:r>
    </w:p>
    <w:p w14:paraId="1FB65DCA" w14:textId="6E36E932" w:rsidR="001474F6" w:rsidRPr="00626E37" w:rsidRDefault="001474F6" w:rsidP="001474F6">
      <w:pPr>
        <w:pStyle w:val="ListParagraph"/>
        <w:numPr>
          <w:ilvl w:val="0"/>
          <w:numId w:val="5"/>
        </w:numPr>
        <w:spacing w:after="200" w:line="276" w:lineRule="auto"/>
        <w:jc w:val="both"/>
        <w:rPr>
          <w:color w:val="000000"/>
        </w:rPr>
      </w:pPr>
      <w:bookmarkStart w:id="3" w:name="part_4b7a49560ceb460d8bb86e106750d695"/>
      <w:bookmarkEnd w:id="3"/>
      <w:r w:rsidRPr="00626E37">
        <w:rPr>
          <w:color w:val="000000"/>
        </w:rPr>
        <w:t xml:space="preserve">to </w:t>
      </w:r>
      <w:r w:rsidR="00D02D82">
        <w:rPr>
          <w:color w:val="000000"/>
        </w:rPr>
        <w:t>verify the l</w:t>
      </w:r>
      <w:r w:rsidR="00263DDF" w:rsidRPr="00626E37">
        <w:rPr>
          <w:color w:val="000000"/>
        </w:rPr>
        <w:t>awyer’s</w:t>
      </w:r>
      <w:r w:rsidRPr="00626E37">
        <w:rPr>
          <w:color w:val="000000"/>
        </w:rPr>
        <w:t xml:space="preserve"> data about </w:t>
      </w:r>
      <w:r w:rsidR="00D02D82">
        <w:rPr>
          <w:color w:val="000000"/>
        </w:rPr>
        <w:t xml:space="preserve">provided </w:t>
      </w:r>
      <w:r w:rsidRPr="00626E37">
        <w:rPr>
          <w:color w:val="000000"/>
        </w:rPr>
        <w:t>legal aid;</w:t>
      </w:r>
    </w:p>
    <w:p w14:paraId="3238C3BC" w14:textId="760BFFBF" w:rsidR="001474F6" w:rsidRPr="00626E37" w:rsidRDefault="001474F6" w:rsidP="001474F6">
      <w:pPr>
        <w:pStyle w:val="ListParagraph"/>
        <w:numPr>
          <w:ilvl w:val="0"/>
          <w:numId w:val="5"/>
        </w:numPr>
        <w:spacing w:after="200" w:line="276" w:lineRule="auto"/>
        <w:jc w:val="both"/>
        <w:rPr>
          <w:color w:val="000000"/>
        </w:rPr>
      </w:pPr>
      <w:bookmarkStart w:id="4" w:name="part_2528741f7b024d2cbfb3c6ac7366d6f5"/>
      <w:bookmarkEnd w:id="4"/>
      <w:r w:rsidRPr="00626E37">
        <w:rPr>
          <w:color w:val="000000"/>
        </w:rPr>
        <w:t xml:space="preserve">to handle </w:t>
      </w:r>
      <w:r w:rsidR="002A5A6B">
        <w:rPr>
          <w:color w:val="000000"/>
        </w:rPr>
        <w:t xml:space="preserve">the </w:t>
      </w:r>
      <w:r w:rsidR="002A5A6B" w:rsidRPr="00626E37">
        <w:rPr>
          <w:color w:val="000000"/>
        </w:rPr>
        <w:t>legal aid beneficiaries</w:t>
      </w:r>
      <w:r w:rsidR="002A5A6B">
        <w:rPr>
          <w:color w:val="000000"/>
        </w:rPr>
        <w:t>’</w:t>
      </w:r>
      <w:r w:rsidR="002A5A6B" w:rsidRPr="00626E37">
        <w:rPr>
          <w:color w:val="000000"/>
        </w:rPr>
        <w:t xml:space="preserve"> </w:t>
      </w:r>
      <w:r w:rsidRPr="00626E37">
        <w:rPr>
          <w:color w:val="000000"/>
        </w:rPr>
        <w:t>complain</w:t>
      </w:r>
      <w:r w:rsidR="00D02D82">
        <w:rPr>
          <w:color w:val="000000"/>
        </w:rPr>
        <w:t>t</w:t>
      </w:r>
      <w:r w:rsidRPr="00626E37">
        <w:rPr>
          <w:color w:val="000000"/>
        </w:rPr>
        <w:t xml:space="preserve">s </w:t>
      </w:r>
      <w:r w:rsidR="00D02D82">
        <w:rPr>
          <w:color w:val="000000"/>
        </w:rPr>
        <w:t xml:space="preserve">regarding the activities of the legal aid </w:t>
      </w:r>
      <w:r w:rsidRPr="00626E37">
        <w:rPr>
          <w:color w:val="000000"/>
        </w:rPr>
        <w:t xml:space="preserve">lawyer, to request the lawyer to </w:t>
      </w:r>
      <w:r w:rsidR="002A5A6B">
        <w:rPr>
          <w:color w:val="000000"/>
        </w:rPr>
        <w:t>provide</w:t>
      </w:r>
      <w:r w:rsidRPr="00626E37">
        <w:rPr>
          <w:color w:val="000000"/>
        </w:rPr>
        <w:t xml:space="preserve"> clarification regarding circumstances </w:t>
      </w:r>
      <w:r w:rsidR="002A5A6B">
        <w:rPr>
          <w:color w:val="000000"/>
        </w:rPr>
        <w:t>detailed</w:t>
      </w:r>
      <w:r w:rsidRPr="00626E37">
        <w:rPr>
          <w:color w:val="000000"/>
        </w:rPr>
        <w:t xml:space="preserve"> in the complaint, to request the lawyer to provide </w:t>
      </w:r>
      <w:r w:rsidR="002A5A6B">
        <w:rPr>
          <w:color w:val="000000"/>
        </w:rPr>
        <w:t xml:space="preserve">other </w:t>
      </w:r>
      <w:r w:rsidRPr="00626E37">
        <w:rPr>
          <w:color w:val="000000"/>
        </w:rPr>
        <w:t xml:space="preserve">information </w:t>
      </w:r>
      <w:r w:rsidR="002A5A6B">
        <w:rPr>
          <w:color w:val="000000"/>
        </w:rPr>
        <w:t>needed for</w:t>
      </w:r>
      <w:r w:rsidRPr="00626E37">
        <w:rPr>
          <w:color w:val="000000"/>
        </w:rPr>
        <w:t xml:space="preserve"> handling the complaint;</w:t>
      </w:r>
    </w:p>
    <w:p w14:paraId="46B9C35C" w14:textId="341E5A5C" w:rsidR="001474F6" w:rsidRPr="00626E37" w:rsidRDefault="001474F6" w:rsidP="001474F6">
      <w:pPr>
        <w:pStyle w:val="ListParagraph"/>
        <w:numPr>
          <w:ilvl w:val="0"/>
          <w:numId w:val="5"/>
        </w:numPr>
        <w:spacing w:after="200" w:line="276" w:lineRule="auto"/>
        <w:jc w:val="both"/>
        <w:rPr>
          <w:color w:val="000000"/>
        </w:rPr>
      </w:pPr>
      <w:r w:rsidRPr="00626E37">
        <w:rPr>
          <w:color w:val="000000"/>
        </w:rPr>
        <w:t>to change the lawyer in case of malpractice</w:t>
      </w:r>
      <w:r w:rsidR="002A5A6B">
        <w:rPr>
          <w:color w:val="000000"/>
        </w:rPr>
        <w:t xml:space="preserve"> or</w:t>
      </w:r>
      <w:r w:rsidRPr="00626E37">
        <w:rPr>
          <w:color w:val="000000"/>
        </w:rPr>
        <w:t xml:space="preserve"> disagreement with </w:t>
      </w:r>
      <w:r w:rsidR="002A5A6B">
        <w:rPr>
          <w:color w:val="000000"/>
        </w:rPr>
        <w:t xml:space="preserve">a </w:t>
      </w:r>
      <w:r w:rsidRPr="00626E37">
        <w:rPr>
          <w:color w:val="000000"/>
        </w:rPr>
        <w:t xml:space="preserve">client </w:t>
      </w:r>
      <w:r w:rsidR="002A5A6B">
        <w:rPr>
          <w:color w:val="000000"/>
        </w:rPr>
        <w:t xml:space="preserve">and </w:t>
      </w:r>
      <w:r w:rsidRPr="00626E37">
        <w:rPr>
          <w:color w:val="000000"/>
        </w:rPr>
        <w:t>transfer the complaint to the BAR for consideration;</w:t>
      </w:r>
    </w:p>
    <w:p w14:paraId="5F8885E0" w14:textId="608BA29B" w:rsidR="001474F6" w:rsidRPr="00626E37" w:rsidRDefault="001474F6" w:rsidP="001474F6">
      <w:pPr>
        <w:pStyle w:val="ListParagraph"/>
        <w:numPr>
          <w:ilvl w:val="0"/>
          <w:numId w:val="5"/>
        </w:numPr>
        <w:spacing w:after="200" w:line="276" w:lineRule="auto"/>
        <w:jc w:val="both"/>
        <w:rPr>
          <w:color w:val="000000"/>
        </w:rPr>
      </w:pPr>
      <w:r w:rsidRPr="00626E37">
        <w:rPr>
          <w:color w:val="000000"/>
        </w:rPr>
        <w:t xml:space="preserve">to terminate the </w:t>
      </w:r>
      <w:r w:rsidRPr="00626E37">
        <w:t xml:space="preserve">agreement signed with the lawyer in case of </w:t>
      </w:r>
      <w:r w:rsidR="002A5A6B">
        <w:t xml:space="preserve">a </w:t>
      </w:r>
      <w:r w:rsidRPr="00626E37">
        <w:t>breach of contract</w:t>
      </w:r>
      <w:r w:rsidR="002A5A6B">
        <w:t>ual obligations</w:t>
      </w:r>
      <w:r w:rsidRPr="00626E37">
        <w:t>.</w:t>
      </w:r>
    </w:p>
    <w:p w14:paraId="3D337A98" w14:textId="49C3B2EA" w:rsidR="001474F6" w:rsidRPr="00263DDF" w:rsidRDefault="00263DDF" w:rsidP="00263DDF">
      <w:pPr>
        <w:jc w:val="both"/>
        <w:rPr>
          <w:i/>
        </w:rPr>
      </w:pPr>
      <w:r w:rsidRPr="00263DDF">
        <w:rPr>
          <w:iCs/>
        </w:rPr>
        <w:t>The</w:t>
      </w:r>
      <w:r>
        <w:rPr>
          <w:i/>
        </w:rPr>
        <w:t xml:space="preserve"> </w:t>
      </w:r>
      <w:r w:rsidR="001474F6" w:rsidRPr="002A5A6B">
        <w:rPr>
          <w:iCs/>
        </w:rPr>
        <w:t>B</w:t>
      </w:r>
      <w:r w:rsidR="002A5A6B" w:rsidRPr="002A5A6B">
        <w:rPr>
          <w:iCs/>
        </w:rPr>
        <w:t>AR</w:t>
      </w:r>
      <w:r w:rsidR="001474F6" w:rsidRPr="00626E37">
        <w:rPr>
          <w:i/>
        </w:rPr>
        <w:t xml:space="preserve"> </w:t>
      </w:r>
      <w:proofErr w:type="spellStart"/>
      <w:r w:rsidR="00A910BB">
        <w:t>analyzes</w:t>
      </w:r>
      <w:proofErr w:type="spellEnd"/>
      <w:r w:rsidR="001474F6" w:rsidRPr="00626E37">
        <w:t xml:space="preserve"> the complaints of the </w:t>
      </w:r>
      <w:r w:rsidR="0073357C">
        <w:t>legal aid beneficiar</w:t>
      </w:r>
      <w:r w:rsidR="002A5A6B">
        <w:t>ies</w:t>
      </w:r>
      <w:r w:rsidR="0073357C">
        <w:t xml:space="preserve"> </w:t>
      </w:r>
      <w:r w:rsidR="002A5A6B">
        <w:t xml:space="preserve">applying </w:t>
      </w:r>
      <w:r w:rsidR="0073357C">
        <w:t xml:space="preserve">the same rules </w:t>
      </w:r>
      <w:r w:rsidR="002A5A6B">
        <w:t xml:space="preserve">which are applied in resolving </w:t>
      </w:r>
      <w:r w:rsidR="001474F6" w:rsidRPr="00626E37">
        <w:t xml:space="preserve">the complaints </w:t>
      </w:r>
      <w:r w:rsidR="002A5A6B">
        <w:t>against</w:t>
      </w:r>
      <w:r w:rsidR="001474F6" w:rsidRPr="00626E37">
        <w:t xml:space="preserve"> private lawyers.</w:t>
      </w:r>
      <w:r w:rsidR="005D29DA">
        <w:rPr>
          <w:rStyle w:val="FootnoteReference"/>
        </w:rPr>
        <w:footnoteReference w:id="52"/>
      </w:r>
    </w:p>
    <w:p w14:paraId="51DCC0BB" w14:textId="59F68435" w:rsidR="001474F6" w:rsidRPr="00626E37" w:rsidRDefault="001474F6" w:rsidP="0073357C">
      <w:pPr>
        <w:jc w:val="both"/>
        <w:rPr>
          <w:b/>
        </w:rPr>
      </w:pPr>
      <w:r w:rsidRPr="00626E37">
        <w:t>3</w:t>
      </w:r>
      <w:r w:rsidR="00A910BB">
        <w:t xml:space="preserve"> </w:t>
      </w:r>
      <w:r w:rsidRPr="00626E37">
        <w:t xml:space="preserve">bodies </w:t>
      </w:r>
      <w:r w:rsidR="00A910BB">
        <w:t>of</w:t>
      </w:r>
      <w:r w:rsidRPr="00626E37">
        <w:t xml:space="preserve"> the BAR </w:t>
      </w:r>
      <w:r w:rsidR="00A910BB">
        <w:t xml:space="preserve">are involved in the </w:t>
      </w:r>
      <w:r w:rsidRPr="00626E37">
        <w:t xml:space="preserve">disciplinary </w:t>
      </w:r>
      <w:r w:rsidR="00A910BB">
        <w:t>proceeding</w:t>
      </w:r>
      <w:r w:rsidRPr="00626E37">
        <w:t xml:space="preserve">: (i) </w:t>
      </w:r>
      <w:r w:rsidR="00A910BB">
        <w:t>t</w:t>
      </w:r>
      <w:r w:rsidRPr="00626E37">
        <w:t xml:space="preserve">he </w:t>
      </w:r>
      <w:r w:rsidR="00A910BB">
        <w:t xml:space="preserve">BAR </w:t>
      </w:r>
      <w:r w:rsidRPr="00626E37">
        <w:t>Council, (ii) the Disciplinary Committee</w:t>
      </w:r>
      <w:r w:rsidR="00A910BB">
        <w:t>,</w:t>
      </w:r>
      <w:r w:rsidRPr="00626E37">
        <w:t xml:space="preserve"> and (iii) the Court of Honour of </w:t>
      </w:r>
      <w:r w:rsidR="00A910BB">
        <w:t>the BAR</w:t>
      </w:r>
      <w:r w:rsidRPr="00626E37">
        <w:t>.</w:t>
      </w:r>
    </w:p>
    <w:p w14:paraId="47F97C55" w14:textId="12C373E4" w:rsidR="00243BA3" w:rsidRDefault="001474F6" w:rsidP="001474F6">
      <w:pPr>
        <w:jc w:val="both"/>
      </w:pPr>
      <w:r w:rsidRPr="00626E37">
        <w:t xml:space="preserve">The Disciplinary Committee receives and analyses </w:t>
      </w:r>
      <w:r w:rsidR="00A910BB">
        <w:t xml:space="preserve">a </w:t>
      </w:r>
      <w:r w:rsidRPr="00626E37">
        <w:t xml:space="preserve">complaint (or other information) against lawyers’ actions and submits </w:t>
      </w:r>
      <w:r w:rsidR="00A910BB">
        <w:t xml:space="preserve">a </w:t>
      </w:r>
      <w:r w:rsidRPr="00626E37">
        <w:t xml:space="preserve">conclusion to the </w:t>
      </w:r>
      <w:r w:rsidR="00A910BB">
        <w:t xml:space="preserve">BAR </w:t>
      </w:r>
      <w:r w:rsidRPr="00626E37">
        <w:t xml:space="preserve">Council. </w:t>
      </w:r>
      <w:r w:rsidR="00A910BB">
        <w:t xml:space="preserve">The BAR </w:t>
      </w:r>
      <w:r w:rsidRPr="00626E37">
        <w:t>Council deci</w:t>
      </w:r>
      <w:r w:rsidR="00A910BB">
        <w:t>des</w:t>
      </w:r>
      <w:r w:rsidRPr="00626E37">
        <w:t xml:space="preserve"> on the initiation of </w:t>
      </w:r>
      <w:r w:rsidR="00A910BB">
        <w:t xml:space="preserve">the </w:t>
      </w:r>
      <w:r w:rsidRPr="00626E37">
        <w:t xml:space="preserve">disciplinary proceeding. </w:t>
      </w:r>
      <w:r w:rsidR="00A910BB">
        <w:t>When the BAR</w:t>
      </w:r>
      <w:r w:rsidRPr="00626E37">
        <w:t xml:space="preserve"> Council decides to initiate </w:t>
      </w:r>
      <w:r w:rsidR="00A910BB">
        <w:t xml:space="preserve">a </w:t>
      </w:r>
      <w:r w:rsidRPr="00626E37">
        <w:t xml:space="preserve">disciplinary </w:t>
      </w:r>
      <w:r w:rsidR="00A910BB" w:rsidRPr="00626E37">
        <w:t>proceeding,</w:t>
      </w:r>
      <w:r w:rsidRPr="00626E37">
        <w:t xml:space="preserve"> it refers the disciplinary case to the Court of Honour. </w:t>
      </w:r>
      <w:r w:rsidR="00243BA3">
        <w:t xml:space="preserve">The disciplinary proceeding also can be initiated by the Minister of Justice.  </w:t>
      </w:r>
      <w:r w:rsidR="00243BA3" w:rsidRPr="00243BA3">
        <w:t xml:space="preserve">In such a case, the Lithuanian Bar, upon receiving the minister's </w:t>
      </w:r>
      <w:r w:rsidR="00243BA3">
        <w:t>order</w:t>
      </w:r>
      <w:r w:rsidR="00243BA3" w:rsidRPr="00243BA3">
        <w:t xml:space="preserve">, forwards it to the </w:t>
      </w:r>
      <w:r w:rsidR="00243BA3">
        <w:t>C</w:t>
      </w:r>
      <w:r w:rsidR="00243BA3" w:rsidRPr="00243BA3">
        <w:t xml:space="preserve">ourt of </w:t>
      </w:r>
      <w:proofErr w:type="spellStart"/>
      <w:r w:rsidR="00243BA3">
        <w:t>H</w:t>
      </w:r>
      <w:r w:rsidR="00243BA3" w:rsidRPr="00243BA3">
        <w:t>onor</w:t>
      </w:r>
      <w:proofErr w:type="spellEnd"/>
      <w:r w:rsidR="00243BA3" w:rsidRPr="00243BA3">
        <w:t xml:space="preserve"> for examination.</w:t>
      </w:r>
      <w:r w:rsidR="00243BA3">
        <w:rPr>
          <w:rStyle w:val="FootnoteReference"/>
        </w:rPr>
        <w:footnoteReference w:id="53"/>
      </w:r>
    </w:p>
    <w:p w14:paraId="0892533A" w14:textId="13BD1F75" w:rsidR="001474F6" w:rsidRPr="00626E37" w:rsidRDefault="001474F6" w:rsidP="001474F6">
      <w:pPr>
        <w:jc w:val="both"/>
      </w:pPr>
      <w:r w:rsidRPr="00626E37">
        <w:t>The Court of Honour</w:t>
      </w:r>
      <w:r w:rsidR="00A910BB">
        <w:t xml:space="preserve"> </w:t>
      </w:r>
      <w:proofErr w:type="spellStart"/>
      <w:r w:rsidR="00A910BB">
        <w:t>analyzes</w:t>
      </w:r>
      <w:proofErr w:type="spellEnd"/>
      <w:r w:rsidR="00A910BB">
        <w:t xml:space="preserve"> the </w:t>
      </w:r>
      <w:r w:rsidR="00243BA3">
        <w:t>case</w:t>
      </w:r>
      <w:r w:rsidR="00A910BB">
        <w:t xml:space="preserve"> and </w:t>
      </w:r>
      <w:r w:rsidR="00A910BB" w:rsidRPr="00626E37">
        <w:t>makes</w:t>
      </w:r>
      <w:r w:rsidR="00A910BB">
        <w:t xml:space="preserve"> one of the </w:t>
      </w:r>
      <w:r w:rsidR="00A910BB" w:rsidRPr="00626E37">
        <w:t>following</w:t>
      </w:r>
      <w:r w:rsidRPr="00626E37">
        <w:t xml:space="preserve"> decisions:</w:t>
      </w:r>
      <w:r w:rsidR="00243BA3">
        <w:rPr>
          <w:rStyle w:val="FootnoteReference"/>
        </w:rPr>
        <w:footnoteReference w:id="54"/>
      </w:r>
    </w:p>
    <w:p w14:paraId="708F9D14" w14:textId="016246B3" w:rsidR="001474F6" w:rsidRPr="00626E37" w:rsidRDefault="001474F6" w:rsidP="001474F6">
      <w:pPr>
        <w:widowControl w:val="0"/>
        <w:numPr>
          <w:ilvl w:val="0"/>
          <w:numId w:val="3"/>
        </w:numPr>
        <w:spacing w:after="200" w:line="276" w:lineRule="auto"/>
        <w:ind w:hanging="360"/>
        <w:contextualSpacing/>
        <w:jc w:val="both"/>
      </w:pPr>
      <w:r w:rsidRPr="00626E37">
        <w:t>to</w:t>
      </w:r>
      <w:r w:rsidR="00497197">
        <w:t xml:space="preserve"> terminate</w:t>
      </w:r>
      <w:r w:rsidRPr="00626E37">
        <w:t xml:space="preserve"> a disciplinary action because ther</w:t>
      </w:r>
      <w:r w:rsidR="00A910BB">
        <w:t xml:space="preserve">e </w:t>
      </w:r>
      <w:r w:rsidR="007957EC">
        <w:t>are</w:t>
      </w:r>
      <w:r w:rsidRPr="00626E37">
        <w:t xml:space="preserve"> no grounds for liability or because of the statute of limitation;</w:t>
      </w:r>
    </w:p>
    <w:p w14:paraId="5089ED45" w14:textId="672657FB" w:rsidR="001474F6" w:rsidRPr="00626E37" w:rsidRDefault="001474F6" w:rsidP="001474F6">
      <w:pPr>
        <w:widowControl w:val="0"/>
        <w:numPr>
          <w:ilvl w:val="0"/>
          <w:numId w:val="3"/>
        </w:numPr>
        <w:spacing w:after="200" w:line="276" w:lineRule="auto"/>
        <w:ind w:hanging="360"/>
        <w:contextualSpacing/>
        <w:jc w:val="both"/>
      </w:pPr>
      <w:r w:rsidRPr="00626E37">
        <w:t>to c</w:t>
      </w:r>
      <w:r w:rsidR="007957EC">
        <w:t>lose</w:t>
      </w:r>
      <w:r w:rsidRPr="00626E37">
        <w:t xml:space="preserve"> the case without imposing </w:t>
      </w:r>
      <w:r w:rsidR="007957EC">
        <w:t xml:space="preserve">the </w:t>
      </w:r>
      <w:r w:rsidRPr="00626E37">
        <w:t>disciplinary penalty;</w:t>
      </w:r>
    </w:p>
    <w:p w14:paraId="56604436" w14:textId="33F121D6" w:rsidR="001474F6" w:rsidRPr="00626E37" w:rsidRDefault="001474F6" w:rsidP="001474F6">
      <w:pPr>
        <w:widowControl w:val="0"/>
        <w:numPr>
          <w:ilvl w:val="0"/>
          <w:numId w:val="3"/>
        </w:numPr>
        <w:spacing w:after="200" w:line="276" w:lineRule="auto"/>
        <w:ind w:hanging="360"/>
        <w:contextualSpacing/>
        <w:jc w:val="both"/>
      </w:pPr>
      <w:r w:rsidRPr="00626E37">
        <w:t>to prohibit temporar</w:t>
      </w:r>
      <w:r w:rsidR="007957EC">
        <w:t>il</w:t>
      </w:r>
      <w:r w:rsidRPr="00626E37">
        <w:t xml:space="preserve">y the lawyer’s activity; </w:t>
      </w:r>
    </w:p>
    <w:p w14:paraId="4625A4C8" w14:textId="3227A9B2" w:rsidR="001474F6" w:rsidRPr="00626E37" w:rsidRDefault="001474F6" w:rsidP="001474F6">
      <w:pPr>
        <w:widowControl w:val="0"/>
        <w:numPr>
          <w:ilvl w:val="0"/>
          <w:numId w:val="3"/>
        </w:numPr>
        <w:spacing w:after="200" w:line="276" w:lineRule="auto"/>
        <w:ind w:hanging="360"/>
        <w:contextualSpacing/>
        <w:jc w:val="both"/>
      </w:pPr>
      <w:r w:rsidRPr="00626E37">
        <w:t xml:space="preserve">to impose </w:t>
      </w:r>
      <w:r w:rsidR="007957EC">
        <w:t xml:space="preserve">one of the following </w:t>
      </w:r>
      <w:r w:rsidRPr="00626E37">
        <w:t>disciplinary penalt</w:t>
      </w:r>
      <w:r w:rsidR="007957EC">
        <w:t>ies:</w:t>
      </w:r>
    </w:p>
    <w:p w14:paraId="2D2F6C57" w14:textId="77777777" w:rsidR="001474F6" w:rsidRPr="00626E37" w:rsidRDefault="001474F6" w:rsidP="001474F6">
      <w:pPr>
        <w:widowControl w:val="0"/>
        <w:numPr>
          <w:ilvl w:val="1"/>
          <w:numId w:val="4"/>
        </w:numPr>
        <w:spacing w:after="200" w:line="276" w:lineRule="auto"/>
        <w:ind w:hanging="360"/>
        <w:contextualSpacing/>
        <w:jc w:val="both"/>
      </w:pPr>
      <w:r w:rsidRPr="00626E37">
        <w:t>Remark</w:t>
      </w:r>
    </w:p>
    <w:p w14:paraId="0F5C1DB9" w14:textId="77777777" w:rsidR="001474F6" w:rsidRPr="00626E37" w:rsidRDefault="001474F6" w:rsidP="001474F6">
      <w:pPr>
        <w:widowControl w:val="0"/>
        <w:numPr>
          <w:ilvl w:val="1"/>
          <w:numId w:val="4"/>
        </w:numPr>
        <w:spacing w:after="200" w:line="276" w:lineRule="auto"/>
        <w:ind w:hanging="360"/>
        <w:contextualSpacing/>
        <w:jc w:val="both"/>
      </w:pPr>
      <w:r w:rsidRPr="00626E37">
        <w:t>Reprimand</w:t>
      </w:r>
    </w:p>
    <w:p w14:paraId="5BED0D0F" w14:textId="77777777" w:rsidR="001474F6" w:rsidRPr="00626E37" w:rsidRDefault="001474F6" w:rsidP="001474F6">
      <w:pPr>
        <w:widowControl w:val="0"/>
        <w:numPr>
          <w:ilvl w:val="1"/>
          <w:numId w:val="4"/>
        </w:numPr>
        <w:spacing w:after="200" w:line="276" w:lineRule="auto"/>
        <w:ind w:hanging="360"/>
        <w:contextualSpacing/>
        <w:jc w:val="both"/>
      </w:pPr>
      <w:r w:rsidRPr="00626E37">
        <w:t>Public reprimand</w:t>
      </w:r>
    </w:p>
    <w:p w14:paraId="12A5B42B" w14:textId="0B19E8AE" w:rsidR="001474F6" w:rsidRPr="007957EC" w:rsidRDefault="007957EC" w:rsidP="007957EC">
      <w:pPr>
        <w:widowControl w:val="0"/>
        <w:numPr>
          <w:ilvl w:val="1"/>
          <w:numId w:val="4"/>
        </w:numPr>
        <w:spacing w:after="200" w:line="276" w:lineRule="auto"/>
        <w:ind w:hanging="360"/>
        <w:contextualSpacing/>
        <w:jc w:val="both"/>
      </w:pPr>
      <w:r>
        <w:t xml:space="preserve">To recommend the BAR </w:t>
      </w:r>
      <w:r w:rsidRPr="00626E37">
        <w:t>Council</w:t>
      </w:r>
      <w:r w:rsidR="001474F6" w:rsidRPr="00626E37">
        <w:t xml:space="preserve"> </w:t>
      </w:r>
      <w:r>
        <w:t xml:space="preserve">to </w:t>
      </w:r>
      <w:r>
        <w:rPr>
          <w:bCs/>
        </w:rPr>
        <w:t>revoke</w:t>
      </w:r>
      <w:r w:rsidRPr="007957EC">
        <w:rPr>
          <w:bCs/>
        </w:rPr>
        <w:t xml:space="preserve"> a lawyer's license to practice law</w:t>
      </w:r>
      <w:r>
        <w:rPr>
          <w:bCs/>
        </w:rPr>
        <w:t>.</w:t>
      </w:r>
    </w:p>
    <w:p w14:paraId="79FD7F47" w14:textId="106AAAB5" w:rsidR="001474F6" w:rsidRPr="001F4E3D" w:rsidRDefault="0073357C" w:rsidP="007957EC">
      <w:pPr>
        <w:spacing w:before="480"/>
        <w:jc w:val="both"/>
        <w:rPr>
          <w:bCs/>
        </w:rPr>
      </w:pPr>
      <w:r w:rsidRPr="001F4E3D">
        <w:rPr>
          <w:bCs/>
        </w:rPr>
        <w:t>In addition to that</w:t>
      </w:r>
      <w:r w:rsidR="001F4E3D" w:rsidRPr="001F4E3D">
        <w:rPr>
          <w:bCs/>
        </w:rPr>
        <w:t>,</w:t>
      </w:r>
      <w:r w:rsidRPr="001F4E3D">
        <w:rPr>
          <w:bCs/>
        </w:rPr>
        <w:t xml:space="preserve"> the legal aid beneficiary </w:t>
      </w:r>
      <w:r w:rsidR="007957EC">
        <w:rPr>
          <w:bCs/>
        </w:rPr>
        <w:t xml:space="preserve">can </w:t>
      </w:r>
      <w:r w:rsidRPr="001F4E3D">
        <w:rPr>
          <w:bCs/>
        </w:rPr>
        <w:t>submit to the SGLAS a</w:t>
      </w:r>
      <w:r w:rsidR="001F4E3D" w:rsidRPr="001F4E3D">
        <w:rPr>
          <w:bCs/>
        </w:rPr>
        <w:t>n</w:t>
      </w:r>
      <w:r w:rsidRPr="001F4E3D">
        <w:rPr>
          <w:bCs/>
        </w:rPr>
        <w:t xml:space="preserve"> anonymous opinion </w:t>
      </w:r>
      <w:r w:rsidR="001F4E3D" w:rsidRPr="001F4E3D">
        <w:rPr>
          <w:bCs/>
        </w:rPr>
        <w:t xml:space="preserve">about </w:t>
      </w:r>
      <w:r w:rsidR="007957EC">
        <w:rPr>
          <w:bCs/>
        </w:rPr>
        <w:t xml:space="preserve">the </w:t>
      </w:r>
      <w:r w:rsidR="001F4E3D" w:rsidRPr="001F4E3D">
        <w:rPr>
          <w:bCs/>
        </w:rPr>
        <w:t xml:space="preserve">quality of legal aid. All legal aid beneficiaries are informed about </w:t>
      </w:r>
      <w:r w:rsidRPr="001F4E3D">
        <w:rPr>
          <w:bCs/>
        </w:rPr>
        <w:t>Client Satisfaction questionnaires</w:t>
      </w:r>
      <w:r w:rsidR="001F4E3D" w:rsidRPr="001F4E3D">
        <w:rPr>
          <w:bCs/>
        </w:rPr>
        <w:t xml:space="preserve"> available online.</w:t>
      </w:r>
      <w:r w:rsidR="007A34CE">
        <w:rPr>
          <w:rStyle w:val="FootnoteReference"/>
          <w:bCs/>
        </w:rPr>
        <w:footnoteReference w:id="55"/>
      </w:r>
      <w:r w:rsidR="001F4E3D" w:rsidRPr="001F4E3D">
        <w:rPr>
          <w:bCs/>
        </w:rPr>
        <w:t xml:space="preserve"> </w:t>
      </w:r>
    </w:p>
    <w:p w14:paraId="1DB2DB1E" w14:textId="77777777" w:rsidR="00385A1A" w:rsidRDefault="00385A1A" w:rsidP="00C415AF">
      <w:pPr>
        <w:pStyle w:val="ListParagraph"/>
        <w:jc w:val="both"/>
      </w:pPr>
    </w:p>
    <w:p w14:paraId="718CC112" w14:textId="328D2952" w:rsidR="00855CCC" w:rsidRDefault="00855CCC" w:rsidP="000A5D33">
      <w:pPr>
        <w:pStyle w:val="Heading1"/>
        <w:numPr>
          <w:ilvl w:val="0"/>
          <w:numId w:val="16"/>
        </w:numPr>
      </w:pPr>
      <w:r w:rsidRPr="00385A1A">
        <w:lastRenderedPageBreak/>
        <w:t>Public Legal Education</w:t>
      </w:r>
    </w:p>
    <w:p w14:paraId="2A73BE1D" w14:textId="77777777" w:rsidR="000A5D33" w:rsidRPr="000A5D33" w:rsidRDefault="000A5D33" w:rsidP="000A5D33"/>
    <w:p w14:paraId="3FD7D211" w14:textId="0EAD4388" w:rsidR="00385A1A" w:rsidRPr="005C77C5" w:rsidRDefault="00855CCC" w:rsidP="007A46C2">
      <w:pPr>
        <w:jc w:val="both"/>
      </w:pPr>
      <w:r w:rsidRPr="005C77C5">
        <w:t xml:space="preserve">Initiatives in </w:t>
      </w:r>
      <w:r w:rsidR="007A46C2" w:rsidRPr="005C77C5">
        <w:t>20</w:t>
      </w:r>
      <w:r w:rsidR="007173CA">
        <w:rPr>
          <w:rFonts w:hint="eastAsia"/>
          <w:lang w:eastAsia="ko-KR"/>
        </w:rPr>
        <w:t>2</w:t>
      </w:r>
      <w:r w:rsidR="007173CA">
        <w:rPr>
          <w:lang w:eastAsia="ko-KR"/>
        </w:rPr>
        <w:t>1</w:t>
      </w:r>
      <w:r w:rsidR="007A46C2" w:rsidRPr="005C77C5">
        <w:t xml:space="preserve"> and 202</w:t>
      </w:r>
      <w:r w:rsidR="007173CA">
        <w:t>2</w:t>
      </w:r>
      <w:r w:rsidRPr="005C77C5">
        <w:t xml:space="preserve"> to increase public awareness </w:t>
      </w:r>
      <w:r w:rsidR="007173CA">
        <w:t>about</w:t>
      </w:r>
      <w:r w:rsidRPr="005C77C5">
        <w:t xml:space="preserve"> </w:t>
      </w:r>
      <w:r w:rsidR="007173CA">
        <w:t xml:space="preserve">the </w:t>
      </w:r>
      <w:r w:rsidRPr="005C77C5">
        <w:t>availability of</w:t>
      </w:r>
      <w:r w:rsidR="00385A1A" w:rsidRPr="005C77C5">
        <w:t xml:space="preserve"> </w:t>
      </w:r>
      <w:r w:rsidR="007A46C2" w:rsidRPr="005C77C5">
        <w:t>State</w:t>
      </w:r>
      <w:r w:rsidR="007173CA">
        <w:t>-funded</w:t>
      </w:r>
      <w:r w:rsidR="00B6137B" w:rsidRPr="005C77C5">
        <w:t xml:space="preserve"> </w:t>
      </w:r>
      <w:r w:rsidR="007173CA">
        <w:t>l</w:t>
      </w:r>
      <w:r w:rsidR="00B6137B" w:rsidRPr="005C77C5">
        <w:t xml:space="preserve">egal </w:t>
      </w:r>
      <w:r w:rsidR="007173CA">
        <w:t>a</w:t>
      </w:r>
      <w:r w:rsidR="007A46C2" w:rsidRPr="005C77C5">
        <w:t>id:</w:t>
      </w:r>
      <w:r w:rsidR="00AF4A17" w:rsidRPr="005C77C5">
        <w:t xml:space="preserve"> </w:t>
      </w:r>
    </w:p>
    <w:p w14:paraId="55A299D6" w14:textId="6223AB9F" w:rsidR="00335BEA" w:rsidRPr="00016FD3" w:rsidRDefault="00862211" w:rsidP="005E190D">
      <w:pPr>
        <w:pStyle w:val="ListParagraph"/>
        <w:numPr>
          <w:ilvl w:val="0"/>
          <w:numId w:val="6"/>
        </w:numPr>
        <w:jc w:val="both"/>
        <w:rPr>
          <w:lang w:val="lt-LT"/>
        </w:rPr>
      </w:pPr>
      <w:r w:rsidRPr="00016FD3">
        <w:t xml:space="preserve">Meetings with NGOs </w:t>
      </w:r>
      <w:r w:rsidR="007173CA" w:rsidRPr="00016FD3">
        <w:t>that</w:t>
      </w:r>
      <w:r w:rsidRPr="00016FD3">
        <w:t xml:space="preserve"> represent particular group</w:t>
      </w:r>
      <w:r w:rsidR="007173CA" w:rsidRPr="00016FD3">
        <w:t>s</w:t>
      </w:r>
      <w:r w:rsidRPr="00016FD3">
        <w:t xml:space="preserve"> of vulnerable people (sentenced and released persons</w:t>
      </w:r>
      <w:r w:rsidR="007A46C2" w:rsidRPr="00016FD3">
        <w:t>, victims of crime</w:t>
      </w:r>
      <w:r w:rsidR="007173CA" w:rsidRPr="00016FD3">
        <w:t>,</w:t>
      </w:r>
      <w:r w:rsidR="007A46C2" w:rsidRPr="00016FD3">
        <w:t xml:space="preserve"> and othe</w:t>
      </w:r>
      <w:r w:rsidR="007173CA" w:rsidRPr="00016FD3">
        <w:t>rs</w:t>
      </w:r>
      <w:r w:rsidR="007A46C2" w:rsidRPr="00016FD3">
        <w:t>);</w:t>
      </w:r>
    </w:p>
    <w:p w14:paraId="4BA6E602" w14:textId="5CD4E5AD" w:rsidR="00235776" w:rsidRPr="00016FD3" w:rsidRDefault="00235776" w:rsidP="007A46C2">
      <w:pPr>
        <w:pStyle w:val="ListParagraph"/>
        <w:numPr>
          <w:ilvl w:val="0"/>
          <w:numId w:val="6"/>
        </w:numPr>
        <w:jc w:val="both"/>
      </w:pPr>
      <w:r w:rsidRPr="00016FD3">
        <w:t>Awareness</w:t>
      </w:r>
      <w:r w:rsidR="00343050" w:rsidRPr="00016FD3">
        <w:t>-</w:t>
      </w:r>
      <w:r w:rsidRPr="00016FD3">
        <w:t>r</w:t>
      </w:r>
      <w:r w:rsidR="005E190D" w:rsidRPr="00016FD3">
        <w:t>a</w:t>
      </w:r>
      <w:r w:rsidRPr="00016FD3">
        <w:t>ising articles in the newspapers</w:t>
      </w:r>
      <w:r w:rsidR="007A46C2" w:rsidRPr="00016FD3">
        <w:t xml:space="preserve"> and </w:t>
      </w:r>
      <w:r w:rsidR="00343050" w:rsidRPr="00016FD3">
        <w:t xml:space="preserve">the </w:t>
      </w:r>
      <w:r w:rsidR="007A46C2" w:rsidRPr="00016FD3">
        <w:t>internet</w:t>
      </w:r>
      <w:r w:rsidRPr="00016FD3">
        <w:t xml:space="preserve">; </w:t>
      </w:r>
    </w:p>
    <w:p w14:paraId="58087B03" w14:textId="5627FBA6" w:rsidR="004A0875" w:rsidRPr="00016FD3" w:rsidRDefault="005C77C5" w:rsidP="007A46C2">
      <w:pPr>
        <w:pStyle w:val="ListParagraph"/>
        <w:numPr>
          <w:ilvl w:val="0"/>
          <w:numId w:val="6"/>
        </w:numPr>
        <w:jc w:val="both"/>
      </w:pPr>
      <w:r w:rsidRPr="00016FD3">
        <w:t>Awareness</w:t>
      </w:r>
      <w:r w:rsidR="007173CA" w:rsidRPr="00016FD3">
        <w:t>-</w:t>
      </w:r>
      <w:r w:rsidRPr="00016FD3">
        <w:t>raising releases on Facebook</w:t>
      </w:r>
      <w:r w:rsidR="007A46C2" w:rsidRPr="00016FD3">
        <w:t>;</w:t>
      </w:r>
    </w:p>
    <w:p w14:paraId="37F75074" w14:textId="53A4A97E" w:rsidR="00235776" w:rsidRPr="00016FD3" w:rsidRDefault="004A0875" w:rsidP="006D23AE">
      <w:pPr>
        <w:pStyle w:val="ListParagraph"/>
        <w:numPr>
          <w:ilvl w:val="0"/>
          <w:numId w:val="6"/>
        </w:numPr>
        <w:jc w:val="both"/>
      </w:pPr>
      <w:r w:rsidRPr="00016FD3">
        <w:t xml:space="preserve">Information on the SGLAS webpage </w:t>
      </w:r>
      <w:hyperlink r:id="rId8" w:history="1">
        <w:r w:rsidR="00016FD3" w:rsidRPr="00875496">
          <w:rPr>
            <w:rStyle w:val="Hyperlink"/>
          </w:rPr>
          <w:t>https://vgtpt.lrv.lt/</w:t>
        </w:r>
      </w:hyperlink>
      <w:r w:rsidR="00016FD3">
        <w:t xml:space="preserve"> </w:t>
      </w:r>
      <w:r w:rsidR="00506BF1" w:rsidRPr="00016FD3">
        <w:t xml:space="preserve"> and webpages of municipalities</w:t>
      </w:r>
      <w:r w:rsidR="007A46C2" w:rsidRPr="00016FD3">
        <w:t>;</w:t>
      </w:r>
    </w:p>
    <w:p w14:paraId="3CBD37B3" w14:textId="0D055874" w:rsidR="00235776" w:rsidRPr="00016FD3" w:rsidRDefault="00235776" w:rsidP="007A46C2">
      <w:pPr>
        <w:pStyle w:val="ListParagraph"/>
        <w:numPr>
          <w:ilvl w:val="0"/>
          <w:numId w:val="6"/>
        </w:numPr>
        <w:jc w:val="both"/>
      </w:pPr>
      <w:r w:rsidRPr="00016FD3">
        <w:t xml:space="preserve">Video training materials </w:t>
      </w:r>
      <w:r w:rsidR="00F12827" w:rsidRPr="00016FD3">
        <w:t>on various legal aid issues with sign language</w:t>
      </w:r>
      <w:r w:rsidR="00016FD3" w:rsidRPr="00016FD3">
        <w:t xml:space="preserve"> </w:t>
      </w:r>
      <w:r w:rsidRPr="00016FD3">
        <w:t>(on mediation, primary legal aid, secondary legal aid</w:t>
      </w:r>
      <w:r w:rsidR="00F12827" w:rsidRPr="00016FD3">
        <w:t>, eligibility criteria</w:t>
      </w:r>
      <w:r w:rsidR="007173CA" w:rsidRPr="00016FD3">
        <w:t>,</w:t>
      </w:r>
      <w:r w:rsidR="00F12827" w:rsidRPr="00016FD3">
        <w:t xml:space="preserve"> and other</w:t>
      </w:r>
      <w:r w:rsidR="007173CA" w:rsidRPr="00016FD3">
        <w:t>s</w:t>
      </w:r>
      <w:r w:rsidR="00F12827" w:rsidRPr="00016FD3">
        <w:t>)</w:t>
      </w:r>
      <w:r w:rsidR="007A46C2" w:rsidRPr="00016FD3">
        <w:t>;</w:t>
      </w:r>
      <w:r w:rsidRPr="00016FD3">
        <w:t xml:space="preserve"> </w:t>
      </w:r>
    </w:p>
    <w:p w14:paraId="249CDDE7" w14:textId="27131301" w:rsidR="00862211" w:rsidRPr="00016FD3" w:rsidRDefault="005E190D" w:rsidP="007A46C2">
      <w:pPr>
        <w:pStyle w:val="ListParagraph"/>
        <w:numPr>
          <w:ilvl w:val="0"/>
          <w:numId w:val="6"/>
        </w:numPr>
        <w:jc w:val="both"/>
      </w:pPr>
      <w:r w:rsidRPr="00016FD3">
        <w:t>Awareness</w:t>
      </w:r>
      <w:r w:rsidR="00343050" w:rsidRPr="00016FD3">
        <w:t>-</w:t>
      </w:r>
      <w:r w:rsidRPr="00016FD3">
        <w:t xml:space="preserve">raising information </w:t>
      </w:r>
      <w:r w:rsidR="00F12827" w:rsidRPr="00016FD3">
        <w:t xml:space="preserve">on </w:t>
      </w:r>
      <w:r w:rsidRPr="00016FD3">
        <w:t xml:space="preserve">TV and </w:t>
      </w:r>
      <w:r w:rsidR="00F12827" w:rsidRPr="00016FD3">
        <w:t>radio</w:t>
      </w:r>
      <w:r w:rsidRPr="00016FD3">
        <w:t xml:space="preserve"> broadcasts</w:t>
      </w:r>
      <w:r w:rsidR="007A46C2" w:rsidRPr="00016FD3">
        <w:t>;</w:t>
      </w:r>
    </w:p>
    <w:p w14:paraId="2A43D6D4" w14:textId="34FFB2C0" w:rsidR="004A0875" w:rsidRPr="00016FD3" w:rsidRDefault="004A0875" w:rsidP="007A46C2">
      <w:pPr>
        <w:pStyle w:val="ListParagraph"/>
        <w:numPr>
          <w:ilvl w:val="0"/>
          <w:numId w:val="6"/>
        </w:numPr>
        <w:jc w:val="both"/>
      </w:pPr>
      <w:r w:rsidRPr="00016FD3">
        <w:t>Consultation of people by phone, email</w:t>
      </w:r>
      <w:r w:rsidR="007173CA" w:rsidRPr="00016FD3">
        <w:t>,</w:t>
      </w:r>
      <w:r w:rsidRPr="00016FD3">
        <w:t xml:space="preserve"> and face</w:t>
      </w:r>
      <w:r w:rsidR="007173CA" w:rsidRPr="00016FD3">
        <w:t>-</w:t>
      </w:r>
      <w:r w:rsidRPr="00016FD3">
        <w:t>to</w:t>
      </w:r>
      <w:r w:rsidR="007173CA" w:rsidRPr="00016FD3">
        <w:t>-</w:t>
      </w:r>
      <w:r w:rsidRPr="00016FD3">
        <w:t>face</w:t>
      </w:r>
      <w:r w:rsidR="007A46C2" w:rsidRPr="00016FD3">
        <w:t>;</w:t>
      </w:r>
      <w:r w:rsidRPr="00016FD3">
        <w:t xml:space="preserve"> </w:t>
      </w:r>
    </w:p>
    <w:p w14:paraId="52DB4F19" w14:textId="11A5451A" w:rsidR="004A0875" w:rsidRPr="00016FD3" w:rsidRDefault="004A0875" w:rsidP="007A46C2">
      <w:pPr>
        <w:pStyle w:val="ListParagraph"/>
        <w:numPr>
          <w:ilvl w:val="0"/>
          <w:numId w:val="6"/>
        </w:numPr>
        <w:jc w:val="both"/>
      </w:pPr>
      <w:r w:rsidRPr="00016FD3">
        <w:t>Information on various awareness rising boards</w:t>
      </w:r>
      <w:r w:rsidR="007A46C2" w:rsidRPr="00016FD3">
        <w:t>;</w:t>
      </w:r>
    </w:p>
    <w:p w14:paraId="4E9C8261" w14:textId="55CC831B" w:rsidR="00506BF1" w:rsidRPr="00016FD3" w:rsidRDefault="00506BF1" w:rsidP="007A46C2">
      <w:pPr>
        <w:pStyle w:val="ListParagraph"/>
        <w:numPr>
          <w:ilvl w:val="0"/>
          <w:numId w:val="6"/>
        </w:numPr>
        <w:jc w:val="both"/>
      </w:pPr>
      <w:r w:rsidRPr="00016FD3">
        <w:t xml:space="preserve">Distribution of leaflets, </w:t>
      </w:r>
      <w:r w:rsidR="007173CA" w:rsidRPr="00016FD3">
        <w:t xml:space="preserve">and </w:t>
      </w:r>
      <w:r w:rsidRPr="00016FD3">
        <w:t>booklets</w:t>
      </w:r>
      <w:r w:rsidR="007A46C2" w:rsidRPr="00016FD3">
        <w:t>;</w:t>
      </w:r>
    </w:p>
    <w:p w14:paraId="024F2B9C" w14:textId="6B13324E" w:rsidR="007A46C2" w:rsidRPr="00016FD3" w:rsidRDefault="00506BF1" w:rsidP="007A46C2">
      <w:pPr>
        <w:pStyle w:val="ListParagraph"/>
        <w:numPr>
          <w:ilvl w:val="0"/>
          <w:numId w:val="6"/>
        </w:numPr>
        <w:jc w:val="both"/>
      </w:pPr>
      <w:r w:rsidRPr="00016FD3">
        <w:t xml:space="preserve">Meetings with people in various public places (courts, Cultural </w:t>
      </w:r>
      <w:proofErr w:type="spellStart"/>
      <w:r w:rsidRPr="00016FD3">
        <w:t>Centers</w:t>
      </w:r>
      <w:proofErr w:type="spellEnd"/>
      <w:r w:rsidRPr="00016FD3">
        <w:t xml:space="preserve">, Community </w:t>
      </w:r>
      <w:proofErr w:type="spellStart"/>
      <w:r w:rsidRPr="00016FD3">
        <w:t>Centers</w:t>
      </w:r>
      <w:proofErr w:type="spellEnd"/>
      <w:r w:rsidR="005241E4">
        <w:t>, etc</w:t>
      </w:r>
      <w:r w:rsidRPr="00016FD3">
        <w:t>.)</w:t>
      </w:r>
      <w:r w:rsidR="007A46C2" w:rsidRPr="00016FD3">
        <w:t xml:space="preserve"> </w:t>
      </w:r>
    </w:p>
    <w:p w14:paraId="1DC89AFA" w14:textId="3647A82C" w:rsidR="005E190D" w:rsidRPr="00016FD3" w:rsidRDefault="005E190D" w:rsidP="007A46C2">
      <w:pPr>
        <w:pStyle w:val="ListParagraph"/>
        <w:numPr>
          <w:ilvl w:val="0"/>
          <w:numId w:val="6"/>
        </w:numPr>
        <w:jc w:val="both"/>
      </w:pPr>
      <w:r w:rsidRPr="00016FD3">
        <w:t xml:space="preserve">The video about mediation was shown on public transport screens in </w:t>
      </w:r>
      <w:r w:rsidR="00343050" w:rsidRPr="00016FD3">
        <w:t xml:space="preserve">the </w:t>
      </w:r>
      <w:r w:rsidRPr="00016FD3">
        <w:t>10 largest Lithuanian cities.</w:t>
      </w:r>
    </w:p>
    <w:p w14:paraId="443E4DB1" w14:textId="74067953" w:rsidR="005E190D" w:rsidRPr="00016FD3" w:rsidRDefault="00BE28E2" w:rsidP="007A46C2">
      <w:pPr>
        <w:pStyle w:val="ListParagraph"/>
        <w:numPr>
          <w:ilvl w:val="0"/>
          <w:numId w:val="6"/>
        </w:numPr>
        <w:jc w:val="both"/>
      </w:pPr>
      <w:r w:rsidRPr="00016FD3">
        <w:t>The IT system TEISIS allows individuals to submit requests for legal aid online, choose a lawyer, receive a legal aid decision</w:t>
      </w:r>
      <w:r w:rsidR="00343050" w:rsidRPr="00016FD3">
        <w:t>,</w:t>
      </w:r>
      <w:r w:rsidRPr="00016FD3">
        <w:t xml:space="preserve"> and monitor the process of providing legal aid from the moment of application to its completion.</w:t>
      </w:r>
      <w:r w:rsidR="00343050" w:rsidRPr="00016FD3">
        <w:t xml:space="preserve"> The system provides general information about the conditions and procedures for providing legal aid, as well as answers to the most frequently asked questions. The IT system TEISIS continues to be developed. In the future, the system will provide answers to the most common legal questions for all people.</w:t>
      </w:r>
      <w:r w:rsidR="00343050" w:rsidRPr="00016FD3">
        <w:rPr>
          <w:rStyle w:val="FootnoteReference"/>
        </w:rPr>
        <w:footnoteReference w:id="56"/>
      </w:r>
    </w:p>
    <w:p w14:paraId="79949F60" w14:textId="55B33177" w:rsidR="00DD640A" w:rsidRDefault="00DD640A" w:rsidP="00DD640A">
      <w:pPr>
        <w:pStyle w:val="ListParagraph"/>
        <w:jc w:val="both"/>
      </w:pPr>
    </w:p>
    <w:p w14:paraId="59F48167" w14:textId="7E8FF5F2" w:rsidR="00335BEA" w:rsidRPr="00335BEA" w:rsidRDefault="00335BEA" w:rsidP="000A5D33">
      <w:pPr>
        <w:pStyle w:val="Heading1"/>
        <w:numPr>
          <w:ilvl w:val="0"/>
          <w:numId w:val="16"/>
        </w:numPr>
      </w:pPr>
      <w:r w:rsidRPr="00335BEA">
        <w:t>Alternative Sources of legal services</w:t>
      </w:r>
    </w:p>
    <w:p w14:paraId="3F5A5F15" w14:textId="77777777" w:rsidR="00492D75" w:rsidRDefault="00492D75" w:rsidP="001E3D4F">
      <w:pPr>
        <w:pStyle w:val="ListParagraph"/>
        <w:jc w:val="both"/>
      </w:pPr>
    </w:p>
    <w:p w14:paraId="542A4238" w14:textId="096B3A90" w:rsidR="00B53214" w:rsidRDefault="001E3D4F" w:rsidP="001E3D4F">
      <w:pPr>
        <w:pStyle w:val="ListParagraph"/>
        <w:jc w:val="both"/>
      </w:pPr>
      <w:r>
        <w:t>Several universities have Legal Clinics which provide free legal consultations live and online</w:t>
      </w:r>
      <w:r w:rsidR="00FD224F">
        <w:t>.</w:t>
      </w:r>
    </w:p>
    <w:p w14:paraId="4FEB1AAD" w14:textId="77777777" w:rsidR="00FD224F" w:rsidRDefault="00FD224F" w:rsidP="001E3D4F">
      <w:pPr>
        <w:pStyle w:val="ListParagraph"/>
        <w:jc w:val="both"/>
      </w:pPr>
    </w:p>
    <w:p w14:paraId="1B2D37FF" w14:textId="7D19C875" w:rsidR="00FD224F" w:rsidRDefault="00FD224F" w:rsidP="001E3D4F">
      <w:pPr>
        <w:pStyle w:val="ListParagraph"/>
        <w:jc w:val="both"/>
      </w:pPr>
      <w:r>
        <w:t>The</w:t>
      </w:r>
      <w:r w:rsidRPr="00FD224F">
        <w:t xml:space="preserve"> Law Clinic </w:t>
      </w:r>
      <w:r>
        <w:t xml:space="preserve">of </w:t>
      </w:r>
      <w:proofErr w:type="spellStart"/>
      <w:r>
        <w:t>Vytautas</w:t>
      </w:r>
      <w:proofErr w:type="spellEnd"/>
      <w:r>
        <w:t xml:space="preserve"> Magnus University</w:t>
      </w:r>
      <w:r>
        <w:rPr>
          <w:rStyle w:val="FootnoteReference"/>
        </w:rPr>
        <w:footnoteReference w:id="57"/>
      </w:r>
      <w:r>
        <w:t xml:space="preserve"> </w:t>
      </w:r>
      <w:r w:rsidRPr="00FD224F">
        <w:t>provides free legal consultations to small and medium-sized businesses, non-profit organizations</w:t>
      </w:r>
      <w:r>
        <w:t>,</w:t>
      </w:r>
      <w:r w:rsidRPr="00FD224F">
        <w:t xml:space="preserve"> and citizens.</w:t>
      </w:r>
    </w:p>
    <w:p w14:paraId="028C5E3D" w14:textId="15DA669B" w:rsidR="001E3D4F" w:rsidRDefault="00FD224F" w:rsidP="00FD224F">
      <w:pPr>
        <w:pStyle w:val="ListParagraph"/>
        <w:jc w:val="both"/>
      </w:pPr>
      <w:r>
        <w:t>The Law Clinic of Vilnius University</w:t>
      </w:r>
      <w:r>
        <w:rPr>
          <w:rStyle w:val="FootnoteReference"/>
        </w:rPr>
        <w:footnoteReference w:id="58"/>
      </w:r>
      <w:r>
        <w:t xml:space="preserve"> provides free legal consultations </w:t>
      </w:r>
      <w:r w:rsidR="001E3D4F">
        <w:t>to the residents of Lithuania. Consultants at the clinics provide guidance on downtime, vacation, termination of employment contracts, personal financial liability with banks or credit institutions</w:t>
      </w:r>
      <w:r w:rsidR="005241E4">
        <w:t>,</w:t>
      </w:r>
      <w:r w:rsidR="001E3D4F">
        <w:t xml:space="preserve"> and sick leave certificates for those individuals taking care of children or relatives</w:t>
      </w:r>
      <w:r w:rsidR="00492D75">
        <w:t xml:space="preserve"> and </w:t>
      </w:r>
      <w:r w:rsidR="005241E4">
        <w:t>others</w:t>
      </w:r>
      <w:r w:rsidR="00492D75">
        <w:t>.</w:t>
      </w:r>
    </w:p>
    <w:p w14:paraId="7B8419DB" w14:textId="77777777" w:rsidR="00492D75" w:rsidRDefault="00492D75" w:rsidP="00C415AF">
      <w:pPr>
        <w:pStyle w:val="ListParagraph"/>
        <w:jc w:val="both"/>
      </w:pPr>
    </w:p>
    <w:p w14:paraId="4A911FC8" w14:textId="553B9D63" w:rsidR="001E3D4F" w:rsidRDefault="00F96931" w:rsidP="00C415AF">
      <w:pPr>
        <w:pStyle w:val="ListParagraph"/>
        <w:jc w:val="both"/>
      </w:pPr>
      <w:r>
        <w:t xml:space="preserve">Various trade unions provide consultations </w:t>
      </w:r>
      <w:r w:rsidR="00492D75">
        <w:t xml:space="preserve">to </w:t>
      </w:r>
      <w:r w:rsidR="005241E4">
        <w:t>their</w:t>
      </w:r>
      <w:r w:rsidR="00492D75">
        <w:t xml:space="preserve"> members </w:t>
      </w:r>
      <w:r>
        <w:t xml:space="preserve">on various </w:t>
      </w:r>
      <w:proofErr w:type="spellStart"/>
      <w:r>
        <w:t>labor</w:t>
      </w:r>
      <w:proofErr w:type="spellEnd"/>
      <w:r>
        <w:t xml:space="preserve"> issues as well as </w:t>
      </w:r>
      <w:r w:rsidR="00492D75" w:rsidRPr="00492D75">
        <w:t>defend their rights against the employer</w:t>
      </w:r>
      <w:r w:rsidR="00492D75">
        <w:t xml:space="preserve">. </w:t>
      </w:r>
    </w:p>
    <w:p w14:paraId="71C20469" w14:textId="77777777" w:rsidR="00492D75" w:rsidRDefault="00492D75" w:rsidP="00C415AF">
      <w:pPr>
        <w:pStyle w:val="ListParagraph"/>
        <w:jc w:val="both"/>
      </w:pPr>
    </w:p>
    <w:p w14:paraId="270CF6CB" w14:textId="1D25D91B" w:rsidR="00492D75" w:rsidRDefault="00492D75" w:rsidP="00C415AF">
      <w:pPr>
        <w:pStyle w:val="ListParagraph"/>
        <w:jc w:val="both"/>
      </w:pPr>
      <w:r>
        <w:t>However, i</w:t>
      </w:r>
      <w:r w:rsidRPr="00492D75">
        <w:t xml:space="preserve">t is difficult to say how much legal aid they provide, as they do not </w:t>
      </w:r>
      <w:r w:rsidR="005B6A24" w:rsidRPr="00492D75">
        <w:t>provide comprehensive</w:t>
      </w:r>
      <w:r w:rsidRPr="00492D75">
        <w:t xml:space="preserve"> </w:t>
      </w:r>
      <w:r w:rsidR="005241E4">
        <w:t>statistics</w:t>
      </w:r>
      <w:r w:rsidRPr="00492D75">
        <w:t>.</w:t>
      </w:r>
    </w:p>
    <w:p w14:paraId="2297FF72" w14:textId="5937637E" w:rsidR="001E3D4F" w:rsidRDefault="001E3D4F" w:rsidP="00C415AF">
      <w:pPr>
        <w:pStyle w:val="ListParagraph"/>
        <w:jc w:val="both"/>
      </w:pPr>
    </w:p>
    <w:p w14:paraId="377E98BE" w14:textId="27EE6F52" w:rsidR="00AF4A17" w:rsidRPr="00385A1A" w:rsidRDefault="00AF4A17" w:rsidP="00FD224F">
      <w:pPr>
        <w:pStyle w:val="Heading1"/>
        <w:numPr>
          <w:ilvl w:val="0"/>
          <w:numId w:val="16"/>
        </w:numPr>
      </w:pPr>
      <w:r w:rsidRPr="00385A1A">
        <w:lastRenderedPageBreak/>
        <w:t>Holistic legal services</w:t>
      </w:r>
    </w:p>
    <w:p w14:paraId="0EB67C68" w14:textId="71764A5E" w:rsidR="00AF4A17" w:rsidRDefault="00AF4A17" w:rsidP="00C415AF">
      <w:pPr>
        <w:pStyle w:val="ListParagraph"/>
        <w:jc w:val="both"/>
      </w:pPr>
    </w:p>
    <w:p w14:paraId="53E97436" w14:textId="5265BE48" w:rsidR="00B87E2D" w:rsidRDefault="00B87E2D" w:rsidP="00516F81">
      <w:pPr>
        <w:pStyle w:val="ListParagraph"/>
        <w:jc w:val="both"/>
      </w:pPr>
      <w:bookmarkStart w:id="5" w:name="_Hlk132035078"/>
      <w:r w:rsidRPr="000721DB">
        <w:rPr>
          <w:i/>
          <w:iCs/>
        </w:rPr>
        <w:t xml:space="preserve">The </w:t>
      </w:r>
      <w:r w:rsidR="00516F81" w:rsidRPr="000721DB">
        <w:rPr>
          <w:i/>
          <w:iCs/>
        </w:rPr>
        <w:t>L</w:t>
      </w:r>
      <w:r w:rsidRPr="000721DB">
        <w:rPr>
          <w:i/>
          <w:iCs/>
        </w:rPr>
        <w:t xml:space="preserve">aw on </w:t>
      </w:r>
      <w:r w:rsidR="00516F81" w:rsidRPr="000721DB">
        <w:rPr>
          <w:i/>
          <w:iCs/>
        </w:rPr>
        <w:t>L</w:t>
      </w:r>
      <w:r w:rsidRPr="000721DB">
        <w:rPr>
          <w:i/>
          <w:iCs/>
        </w:rPr>
        <w:t xml:space="preserve">egal </w:t>
      </w:r>
      <w:r w:rsidR="00516F81" w:rsidRPr="000721DB">
        <w:rPr>
          <w:i/>
          <w:iCs/>
        </w:rPr>
        <w:t>A</w:t>
      </w:r>
      <w:r w:rsidRPr="000721DB">
        <w:rPr>
          <w:i/>
          <w:iCs/>
        </w:rPr>
        <w:t>id</w:t>
      </w:r>
      <w:r w:rsidR="00E25CF1">
        <w:rPr>
          <w:rStyle w:val="FootnoteReference"/>
          <w:b/>
          <w:bCs/>
        </w:rPr>
        <w:footnoteReference w:id="59"/>
      </w:r>
      <w:r>
        <w:t xml:space="preserve"> </w:t>
      </w:r>
      <w:bookmarkEnd w:id="5"/>
      <w:r>
        <w:t xml:space="preserve">foresees </w:t>
      </w:r>
      <w:r w:rsidR="00516F81">
        <w:t xml:space="preserve">the </w:t>
      </w:r>
      <w:r>
        <w:t xml:space="preserve">involvement of the </w:t>
      </w:r>
      <w:r w:rsidRPr="00B87E2D">
        <w:t xml:space="preserve">psychologist </w:t>
      </w:r>
      <w:r>
        <w:t>in the</w:t>
      </w:r>
      <w:r w:rsidRPr="00B87E2D">
        <w:t xml:space="preserve"> </w:t>
      </w:r>
      <w:r w:rsidR="00516F81">
        <w:t>questioning of minors. Article 13 foresees that a psychologist must be invited to help question the minor who is under the age of 14, who are victims of offense against human life, health and freedom, sexual self-determination and integrity, the child and the family, commercial sexual exploitation of a minor, encouragement of a minor to provide sexual services as well as in other cases were the process participants request or a pre-trial investigation officer, prosecutor or pre-trial investigation judge decides that it is necessary. Whereas for the minor with special needs, mentally disturbed after a criminal act, etc., the recommends inviting a psychologist in other types of cases to avoid repeated trauma during legal procedures (Article 14).</w:t>
      </w:r>
    </w:p>
    <w:p w14:paraId="27288094" w14:textId="77777777" w:rsidR="00C83F6D" w:rsidRDefault="00C83F6D" w:rsidP="00516F81">
      <w:pPr>
        <w:pStyle w:val="ListParagraph"/>
        <w:jc w:val="both"/>
      </w:pPr>
    </w:p>
    <w:p w14:paraId="10AE639D" w14:textId="791B0C53" w:rsidR="00C83F6D" w:rsidRPr="000721DB" w:rsidRDefault="00C83F6D" w:rsidP="00516F81">
      <w:pPr>
        <w:pStyle w:val="ListParagraph"/>
        <w:jc w:val="both"/>
      </w:pPr>
      <w:r w:rsidRPr="000721DB">
        <w:t xml:space="preserve">Other laws foresee </w:t>
      </w:r>
      <w:r w:rsidR="004E5A94" w:rsidRPr="000721DB">
        <w:t xml:space="preserve">the </w:t>
      </w:r>
      <w:r w:rsidRPr="000721DB">
        <w:t>cooperation of non</w:t>
      </w:r>
      <w:r w:rsidR="004E5A94" w:rsidRPr="000721DB">
        <w:t>-lawyers</w:t>
      </w:r>
      <w:r w:rsidRPr="000721DB">
        <w:t xml:space="preserve"> with legal services providers. </w:t>
      </w:r>
    </w:p>
    <w:p w14:paraId="113924BA" w14:textId="77777777" w:rsidR="00BF2E29" w:rsidRDefault="00BF2E29" w:rsidP="00516F81">
      <w:pPr>
        <w:pStyle w:val="ListParagraph"/>
        <w:jc w:val="both"/>
        <w:rPr>
          <w:b/>
          <w:bCs/>
        </w:rPr>
      </w:pPr>
    </w:p>
    <w:p w14:paraId="243FA4CB" w14:textId="71BB61E5" w:rsidR="000838FA" w:rsidRDefault="000838FA" w:rsidP="00516F81">
      <w:pPr>
        <w:pStyle w:val="ListParagraph"/>
        <w:jc w:val="both"/>
      </w:pPr>
      <w:r w:rsidRPr="000721DB">
        <w:rPr>
          <w:i/>
          <w:iCs/>
        </w:rPr>
        <w:t>The Law on Social Services</w:t>
      </w:r>
      <w:r w:rsidR="00A67E91" w:rsidRPr="000721DB">
        <w:rPr>
          <w:rStyle w:val="FootnoteReference"/>
          <w:i/>
          <w:iCs/>
        </w:rPr>
        <w:footnoteReference w:id="60"/>
      </w:r>
      <w:r w:rsidRPr="000838FA">
        <w:t xml:space="preserve"> </w:t>
      </w:r>
      <w:r>
        <w:t xml:space="preserve">foresees assistance of the social worker to the vulnerable person in various fields including cooperation with legal aid providers. </w:t>
      </w:r>
    </w:p>
    <w:p w14:paraId="0FF84A12" w14:textId="77777777" w:rsidR="00BF2E29" w:rsidRDefault="00BF2E29" w:rsidP="00BF2E29">
      <w:pPr>
        <w:pStyle w:val="ListParagraph"/>
        <w:jc w:val="both"/>
        <w:rPr>
          <w:b/>
          <w:bCs/>
        </w:rPr>
      </w:pPr>
    </w:p>
    <w:p w14:paraId="47538903" w14:textId="52C9FE5E" w:rsidR="00BF2E29" w:rsidRDefault="00BF2E29" w:rsidP="00BF2E29">
      <w:pPr>
        <w:pStyle w:val="ListParagraph"/>
        <w:jc w:val="both"/>
      </w:pPr>
      <w:r w:rsidRPr="000721DB">
        <w:rPr>
          <w:i/>
          <w:iCs/>
        </w:rPr>
        <w:t>Law on the Assistance of Victims of Crime</w:t>
      </w:r>
      <w:r w:rsidR="00A67E91" w:rsidRPr="000721DB">
        <w:rPr>
          <w:rStyle w:val="FootnoteReference"/>
          <w:i/>
          <w:iCs/>
        </w:rPr>
        <w:footnoteReference w:id="61"/>
      </w:r>
      <w:r>
        <w:t xml:space="preserve"> seeks to </w:t>
      </w:r>
      <w:r w:rsidRPr="00367E7B">
        <w:t xml:space="preserve">ensure that natural persons who have suffered from a crime receive assistance before the criminal proceeding, during </w:t>
      </w:r>
      <w:r>
        <w:t>and after it,</w:t>
      </w:r>
      <w:r w:rsidRPr="00367E7B">
        <w:t xml:space="preserve"> and in cases where criminal proceedings are not initiated</w:t>
      </w:r>
      <w:r>
        <w:t xml:space="preserve">. </w:t>
      </w:r>
      <w:r w:rsidRPr="00367E7B">
        <w:t>According to this law, information, consultations</w:t>
      </w:r>
      <w:r>
        <w:t xml:space="preserve">, </w:t>
      </w:r>
      <w:r w:rsidRPr="00367E7B">
        <w:t>and/or services are provided to the victims of crime, taking into account the individual needs of the victim.</w:t>
      </w:r>
      <w:r>
        <w:t xml:space="preserve"> The Law foresees cooperation among state institutions and NGOs. </w:t>
      </w:r>
    </w:p>
    <w:p w14:paraId="6ABC0C75" w14:textId="77777777" w:rsidR="00BF2E29" w:rsidRDefault="00BF2E29" w:rsidP="00BF2E29">
      <w:pPr>
        <w:pStyle w:val="ListParagraph"/>
        <w:jc w:val="both"/>
      </w:pPr>
      <w:r w:rsidRPr="000135FC">
        <w:t>The law defines the duties of the first contact authority.</w:t>
      </w:r>
      <w:r>
        <w:t xml:space="preserve"> </w:t>
      </w:r>
      <w:r w:rsidRPr="000135FC">
        <w:t xml:space="preserve">The institution of first contact is the institution to which the victim of a crime or his legal representative applies first: pre-trial investigation institution, prosecutor's office (prosecutor) or court, General Assistance </w:t>
      </w:r>
      <w:proofErr w:type="spellStart"/>
      <w:r w:rsidRPr="000135FC">
        <w:t>Center</w:t>
      </w:r>
      <w:proofErr w:type="spellEnd"/>
      <w:r w:rsidRPr="000135FC">
        <w:t>, municipal administration, social service institution, any educational or health care institution, or the State Children's rights protection and adoption service.</w:t>
      </w:r>
    </w:p>
    <w:p w14:paraId="467D5D36" w14:textId="77777777" w:rsidR="00BF2E29" w:rsidRDefault="00BF2E29" w:rsidP="00516F81">
      <w:pPr>
        <w:pStyle w:val="ListParagraph"/>
        <w:jc w:val="both"/>
        <w:rPr>
          <w:b/>
          <w:bCs/>
        </w:rPr>
      </w:pPr>
    </w:p>
    <w:p w14:paraId="490BF03D" w14:textId="26E5C471" w:rsidR="00CA01E7" w:rsidRDefault="000838FA" w:rsidP="00516F81">
      <w:pPr>
        <w:pStyle w:val="ListParagraph"/>
        <w:jc w:val="both"/>
      </w:pPr>
      <w:r w:rsidRPr="000721DB">
        <w:rPr>
          <w:i/>
          <w:iCs/>
        </w:rPr>
        <w:t>Law on Protection against Domestic Violence</w:t>
      </w:r>
      <w:r w:rsidR="00A67E91" w:rsidRPr="000721DB">
        <w:rPr>
          <w:rStyle w:val="FootnoteReference"/>
          <w:i/>
          <w:iCs/>
        </w:rPr>
        <w:footnoteReference w:id="62"/>
      </w:r>
      <w:r w:rsidRPr="000721DB">
        <w:rPr>
          <w:i/>
          <w:iCs/>
        </w:rPr>
        <w:t xml:space="preserve"> </w:t>
      </w:r>
      <w:r w:rsidR="00CA01E7">
        <w:t xml:space="preserve">foresees cooperation among state institutions and NGOs in the provision of </w:t>
      </w:r>
      <w:r w:rsidR="00CA01E7" w:rsidRPr="00CA01E7">
        <w:t>specialized complex assistance to persons in a dangerous environment and persons who have experienced domestic violence</w:t>
      </w:r>
      <w:r w:rsidR="00CA01E7">
        <w:t>.</w:t>
      </w:r>
    </w:p>
    <w:p w14:paraId="716A1ADE" w14:textId="77777777" w:rsidR="00CA01E7" w:rsidRDefault="00CA01E7" w:rsidP="00516F81">
      <w:pPr>
        <w:pStyle w:val="ListParagraph"/>
        <w:jc w:val="both"/>
      </w:pPr>
    </w:p>
    <w:p w14:paraId="793DAE0D" w14:textId="5D7EA1BB" w:rsidR="00DD640A" w:rsidRDefault="00CA01E7" w:rsidP="00C415AF">
      <w:pPr>
        <w:pStyle w:val="ListParagraph"/>
        <w:jc w:val="both"/>
      </w:pPr>
      <w:r>
        <w:t xml:space="preserve"> </w:t>
      </w:r>
    </w:p>
    <w:p w14:paraId="7079E87E" w14:textId="3F257D68" w:rsidR="00FA4F45" w:rsidRPr="005241E4" w:rsidRDefault="00FA4F45" w:rsidP="005241E4">
      <w:pPr>
        <w:pStyle w:val="Heading1"/>
        <w:numPr>
          <w:ilvl w:val="0"/>
          <w:numId w:val="16"/>
        </w:numPr>
      </w:pPr>
      <w:r w:rsidRPr="005241E4">
        <w:t xml:space="preserve">UN SDG </w:t>
      </w:r>
      <w:r w:rsidRPr="005241E4">
        <w:rPr>
          <w:rStyle w:val="Heading1Char"/>
        </w:rPr>
        <w:t>Standard</w:t>
      </w:r>
      <w:r w:rsidRPr="005241E4">
        <w:t xml:space="preserve"> 16.3</w:t>
      </w:r>
    </w:p>
    <w:p w14:paraId="724400FD" w14:textId="77777777" w:rsidR="00A67E91" w:rsidRDefault="00A67E91" w:rsidP="00C415AF">
      <w:pPr>
        <w:pStyle w:val="ListParagraph"/>
        <w:jc w:val="both"/>
      </w:pPr>
    </w:p>
    <w:p w14:paraId="735A72C4" w14:textId="2C9627D7" w:rsidR="00A67E91" w:rsidRPr="00CF3CF0" w:rsidRDefault="000554A5" w:rsidP="00C415AF">
      <w:pPr>
        <w:pStyle w:val="ListParagraph"/>
        <w:jc w:val="both"/>
        <w:rPr>
          <w:b/>
          <w:bCs/>
        </w:rPr>
      </w:pPr>
      <w:r>
        <w:rPr>
          <w:b/>
          <w:bCs/>
        </w:rPr>
        <w:t>Policy d</w:t>
      </w:r>
      <w:r w:rsidR="00A67E91" w:rsidRPr="00CF3CF0">
        <w:rPr>
          <w:b/>
          <w:bCs/>
        </w:rPr>
        <w:t>evelopment</w:t>
      </w:r>
      <w:r>
        <w:rPr>
          <w:b/>
          <w:bCs/>
        </w:rPr>
        <w:t>s</w:t>
      </w:r>
    </w:p>
    <w:p w14:paraId="588E1F00" w14:textId="5F8FDC83" w:rsidR="0015021B" w:rsidRPr="000721DB" w:rsidRDefault="0015021B" w:rsidP="000554A5">
      <w:pPr>
        <w:spacing w:line="256" w:lineRule="auto"/>
        <w:ind w:left="709"/>
        <w:jc w:val="both"/>
      </w:pPr>
      <w:r w:rsidRPr="000721DB">
        <w:rPr>
          <w:i/>
          <w:iCs/>
        </w:rPr>
        <w:t>The Program of the 18th Government of the Republic of Lithuania</w:t>
      </w:r>
      <w:r w:rsidRPr="000721DB">
        <w:rPr>
          <w:i/>
          <w:iCs/>
          <w:vertAlign w:val="superscript"/>
        </w:rPr>
        <w:footnoteReference w:id="63"/>
      </w:r>
      <w:r w:rsidR="00CF3CF0" w:rsidRPr="000721DB">
        <w:t xml:space="preserve"> identifies the goals that the Government of Lithuania is pursuing during its period of governance (2020-2024).</w:t>
      </w:r>
      <w:r w:rsidR="000554A5" w:rsidRPr="000721DB">
        <w:t xml:space="preserve"> </w:t>
      </w:r>
      <w:r w:rsidRPr="000721DB">
        <w:t xml:space="preserve">The Program </w:t>
      </w:r>
      <w:r w:rsidRPr="000721DB">
        <w:lastRenderedPageBreak/>
        <w:t>states, that the government seeks to eliminate any discrimination and ensure equal opportunities for all social groups. It is committed to promoting zero tolerance for any violence, to establishing measures to ensure gender equality between women and men.</w:t>
      </w:r>
    </w:p>
    <w:p w14:paraId="5DC09138" w14:textId="77777777" w:rsidR="00CF3CF0" w:rsidRPr="000721DB" w:rsidRDefault="00CF3CF0" w:rsidP="00C415AF">
      <w:pPr>
        <w:pStyle w:val="ListParagraph"/>
        <w:jc w:val="both"/>
      </w:pPr>
    </w:p>
    <w:p w14:paraId="4F18BDBF" w14:textId="77777777" w:rsidR="00CF3CF0" w:rsidRPr="000721DB" w:rsidRDefault="00CF3CF0" w:rsidP="00CF3CF0">
      <w:pPr>
        <w:pStyle w:val="ListParagraph"/>
        <w:jc w:val="both"/>
      </w:pPr>
      <w:r w:rsidRPr="000721DB">
        <w:rPr>
          <w:i/>
          <w:iCs/>
        </w:rPr>
        <w:t>2021-2030 National Progress Plan</w:t>
      </w:r>
      <w:r w:rsidRPr="000721DB">
        <w:rPr>
          <w:i/>
          <w:iCs/>
          <w:vertAlign w:val="superscript"/>
        </w:rPr>
        <w:footnoteReference w:id="64"/>
      </w:r>
      <w:r w:rsidRPr="000721DB">
        <w:rPr>
          <w:vertAlign w:val="superscript"/>
        </w:rPr>
        <w:t xml:space="preserve"> </w:t>
      </w:r>
      <w:r w:rsidRPr="000721DB">
        <w:t>establishes that when implementing the Plan and preparing national development programs, it is mandatory to consider the needs of the disabled, women and men, different age groups, national minorities, and other groups that may experience discrimination, and provide measures and indicators that implement the principle of equal opportunities.</w:t>
      </w:r>
    </w:p>
    <w:p w14:paraId="02767838" w14:textId="77777777" w:rsidR="00CF3CF0" w:rsidRPr="000721DB" w:rsidRDefault="00CF3CF0" w:rsidP="00CF3CF0">
      <w:pPr>
        <w:pStyle w:val="ListParagraph"/>
        <w:jc w:val="both"/>
        <w:rPr>
          <w:i/>
          <w:iCs/>
        </w:rPr>
      </w:pPr>
    </w:p>
    <w:p w14:paraId="09E7E896" w14:textId="3FADA508" w:rsidR="00CF3CF0" w:rsidRPr="000721DB" w:rsidRDefault="00CF3CF0" w:rsidP="00CF3CF0">
      <w:pPr>
        <w:pStyle w:val="ListParagraph"/>
        <w:jc w:val="both"/>
      </w:pPr>
      <w:r w:rsidRPr="000721DB">
        <w:rPr>
          <w:i/>
          <w:iCs/>
        </w:rPr>
        <w:t>2022-2023 Action plan for the prevention of domestic violence and the provision of assistance to victims</w:t>
      </w:r>
      <w:r w:rsidRPr="000721DB">
        <w:rPr>
          <w:i/>
          <w:iCs/>
          <w:vertAlign w:val="superscript"/>
        </w:rPr>
        <w:footnoteReference w:id="65"/>
      </w:r>
      <w:r w:rsidRPr="000721DB">
        <w:t xml:space="preserve"> establishes the measures for the year 2022-2023 aimed at strengthening the assistance to persons affected by domestic violence</w:t>
      </w:r>
      <w:r w:rsidR="000554A5" w:rsidRPr="000721DB">
        <w:t>.</w:t>
      </w:r>
      <w:r w:rsidRPr="000721DB">
        <w:t xml:space="preserve"> </w:t>
      </w:r>
    </w:p>
    <w:p w14:paraId="449461CF" w14:textId="77777777" w:rsidR="00CF3CF0" w:rsidRPr="000721DB" w:rsidRDefault="00CF3CF0" w:rsidP="00CF3CF0">
      <w:pPr>
        <w:pStyle w:val="ListParagraph"/>
        <w:jc w:val="both"/>
        <w:rPr>
          <w:b/>
          <w:bCs/>
        </w:rPr>
      </w:pPr>
    </w:p>
    <w:p w14:paraId="1D83F67F" w14:textId="1B5F4C78" w:rsidR="00CF3CF0" w:rsidRPr="000721DB" w:rsidRDefault="00CF3CF0" w:rsidP="000554A5">
      <w:pPr>
        <w:pStyle w:val="ListParagraph"/>
        <w:jc w:val="both"/>
      </w:pPr>
      <w:r w:rsidRPr="000721DB">
        <w:rPr>
          <w:i/>
          <w:iCs/>
        </w:rPr>
        <w:t>Public Security Development Program for 2015-2025</w:t>
      </w:r>
      <w:r w:rsidRPr="000721DB">
        <w:rPr>
          <w:i/>
          <w:iCs/>
          <w:vertAlign w:val="superscript"/>
        </w:rPr>
        <w:footnoteReference w:id="66"/>
      </w:r>
      <w:r w:rsidRPr="000721DB">
        <w:t xml:space="preserve"> among other goals, aims at creating suitable conditions for the victims to exercise their rights.</w:t>
      </w:r>
    </w:p>
    <w:p w14:paraId="77595245" w14:textId="77777777" w:rsidR="00CF3CF0" w:rsidRDefault="00CF3CF0" w:rsidP="00C415AF">
      <w:pPr>
        <w:pStyle w:val="ListParagraph"/>
        <w:jc w:val="both"/>
      </w:pPr>
    </w:p>
    <w:p w14:paraId="078B95E6" w14:textId="77777777" w:rsidR="00080105" w:rsidRPr="000721DB" w:rsidRDefault="000554A5" w:rsidP="00080105">
      <w:pPr>
        <w:pStyle w:val="ListParagraph"/>
        <w:jc w:val="both"/>
        <w:rPr>
          <w:b/>
          <w:bCs/>
        </w:rPr>
      </w:pPr>
      <w:r w:rsidRPr="000721DB">
        <w:rPr>
          <w:b/>
          <w:bCs/>
        </w:rPr>
        <w:t>Legislative developments</w:t>
      </w:r>
    </w:p>
    <w:p w14:paraId="20FA9745" w14:textId="77777777" w:rsidR="00080105" w:rsidRDefault="00080105" w:rsidP="00080105">
      <w:pPr>
        <w:pStyle w:val="ListParagraph"/>
        <w:jc w:val="both"/>
      </w:pPr>
    </w:p>
    <w:p w14:paraId="5C6F44EA" w14:textId="13DBDB64" w:rsidR="00080105" w:rsidRPr="00080105" w:rsidRDefault="00080105" w:rsidP="00080105">
      <w:pPr>
        <w:pStyle w:val="ListParagraph"/>
        <w:jc w:val="both"/>
      </w:pPr>
      <w:r w:rsidRPr="000721DB">
        <w:rPr>
          <w:i/>
          <w:iCs/>
        </w:rPr>
        <w:t>The Law on Legal Aid</w:t>
      </w:r>
      <w:r w:rsidRPr="000721DB">
        <w:rPr>
          <w:rStyle w:val="FootnoteReference"/>
          <w:i/>
          <w:iCs/>
        </w:rPr>
        <w:footnoteReference w:id="67"/>
      </w:r>
      <w:r>
        <w:rPr>
          <w:b/>
          <w:bCs/>
        </w:rPr>
        <w:t xml:space="preserve"> </w:t>
      </w:r>
      <w:r w:rsidRPr="00080105">
        <w:t xml:space="preserve">foresees that primary and secondary legal aid is available </w:t>
      </w:r>
      <w:r>
        <w:t xml:space="preserve">on equal terms </w:t>
      </w:r>
      <w:r w:rsidRPr="00080105">
        <w:t>to</w:t>
      </w:r>
      <w:r w:rsidRPr="00626E37">
        <w:t xml:space="preserve"> all citizens</w:t>
      </w:r>
      <w:r>
        <w:t xml:space="preserve"> </w:t>
      </w:r>
      <w:r w:rsidRPr="00626E37">
        <w:t>of Lithuania</w:t>
      </w:r>
      <w:r>
        <w:t xml:space="preserve"> and </w:t>
      </w:r>
      <w:r w:rsidRPr="00626E37">
        <w:t xml:space="preserve">other EU Member States, to other persons lawfully residing in Lithuania and other EU Member States, </w:t>
      </w:r>
      <w:r>
        <w:t xml:space="preserve">and </w:t>
      </w:r>
      <w:r w:rsidRPr="00626E37">
        <w:t>to</w:t>
      </w:r>
      <w:r>
        <w:t xml:space="preserve"> </w:t>
      </w:r>
      <w:r w:rsidRPr="00626E37">
        <w:t>persons specified in international treaties</w:t>
      </w:r>
      <w:r w:rsidRPr="009935A9">
        <w:rPr>
          <w:rFonts w:eastAsia="Calibri" w:cs="Calibri"/>
          <w:bCs/>
        </w:rPr>
        <w:t>.</w:t>
      </w:r>
      <w:r>
        <w:rPr>
          <w:rStyle w:val="FootnoteReference"/>
          <w:rFonts w:eastAsia="Calibri" w:cs="Calibri"/>
          <w:bCs/>
        </w:rPr>
        <w:footnoteReference w:id="68"/>
      </w:r>
    </w:p>
    <w:p w14:paraId="09BE8E7D" w14:textId="33B39CD3" w:rsidR="00CF3CF0" w:rsidRDefault="00CF3CF0" w:rsidP="00C415AF">
      <w:pPr>
        <w:pStyle w:val="ListParagraph"/>
        <w:jc w:val="both"/>
      </w:pPr>
    </w:p>
    <w:p w14:paraId="62B9E486" w14:textId="2A35FB94" w:rsidR="000721DB" w:rsidRDefault="000721DB" w:rsidP="000721DB">
      <w:pPr>
        <w:pStyle w:val="ListParagraph"/>
        <w:jc w:val="both"/>
      </w:pPr>
      <w:r w:rsidRPr="000721DB">
        <w:rPr>
          <w:i/>
          <w:iCs/>
        </w:rPr>
        <w:t>The Law on Social Services</w:t>
      </w:r>
      <w:r w:rsidRPr="000721DB">
        <w:rPr>
          <w:rStyle w:val="FootnoteReference"/>
          <w:i/>
          <w:iCs/>
        </w:rPr>
        <w:footnoteReference w:id="69"/>
      </w:r>
      <w:r w:rsidR="00B34146">
        <w:rPr>
          <w:i/>
          <w:iCs/>
        </w:rPr>
        <w:t xml:space="preserve"> </w:t>
      </w:r>
      <w:r>
        <w:t xml:space="preserve">foresees assistance of the social worker to the vulnerable person in access to justice. </w:t>
      </w:r>
    </w:p>
    <w:p w14:paraId="1080C91E" w14:textId="77777777" w:rsidR="000721DB" w:rsidRDefault="000721DB" w:rsidP="000721DB">
      <w:pPr>
        <w:pStyle w:val="ListParagraph"/>
        <w:jc w:val="both"/>
        <w:rPr>
          <w:b/>
          <w:bCs/>
        </w:rPr>
      </w:pPr>
    </w:p>
    <w:p w14:paraId="7CF8DEAD" w14:textId="0807B1A0" w:rsidR="000721DB" w:rsidRDefault="000721DB" w:rsidP="000721DB">
      <w:pPr>
        <w:pStyle w:val="ListParagraph"/>
        <w:jc w:val="both"/>
      </w:pPr>
      <w:r w:rsidRPr="000721DB">
        <w:rPr>
          <w:i/>
          <w:iCs/>
        </w:rPr>
        <w:t>Law on the Assistance of Victims of Crime</w:t>
      </w:r>
      <w:r w:rsidRPr="000721DB">
        <w:rPr>
          <w:rStyle w:val="FootnoteReference"/>
          <w:i/>
          <w:iCs/>
        </w:rPr>
        <w:footnoteReference w:id="70"/>
      </w:r>
      <w:r w:rsidR="00B34146">
        <w:rPr>
          <w:i/>
          <w:iCs/>
        </w:rPr>
        <w:t xml:space="preserve"> </w:t>
      </w:r>
      <w:r>
        <w:t>foresees assistance of State institutions and NGOs to victims of a crime in access to justice</w:t>
      </w:r>
      <w:r w:rsidRPr="000135FC">
        <w:t>.</w:t>
      </w:r>
    </w:p>
    <w:p w14:paraId="7283820A" w14:textId="77777777" w:rsidR="000721DB" w:rsidRDefault="000721DB" w:rsidP="000721DB">
      <w:pPr>
        <w:pStyle w:val="ListParagraph"/>
        <w:jc w:val="both"/>
        <w:rPr>
          <w:b/>
          <w:bCs/>
        </w:rPr>
      </w:pPr>
    </w:p>
    <w:p w14:paraId="02429004" w14:textId="599F08B2" w:rsidR="00E25CF1" w:rsidRDefault="000721DB" w:rsidP="00A273F2">
      <w:pPr>
        <w:pStyle w:val="ListParagraph"/>
        <w:jc w:val="both"/>
      </w:pPr>
      <w:r w:rsidRPr="000721DB">
        <w:rPr>
          <w:i/>
          <w:iCs/>
        </w:rPr>
        <w:t>Law on Protection against Domestic Violence</w:t>
      </w:r>
      <w:r w:rsidRPr="000721DB">
        <w:rPr>
          <w:rStyle w:val="FootnoteReference"/>
          <w:i/>
          <w:iCs/>
        </w:rPr>
        <w:footnoteReference w:id="71"/>
      </w:r>
      <w:r w:rsidR="00B34146">
        <w:rPr>
          <w:i/>
          <w:iCs/>
        </w:rPr>
        <w:t xml:space="preserve"> </w:t>
      </w:r>
      <w:r>
        <w:t xml:space="preserve">foresees cooperation among state institutions and NGOs in the provision of </w:t>
      </w:r>
      <w:r w:rsidRPr="00CA01E7">
        <w:t>specialized complex assistance to persons in a dangerous environment and persons who have experienced domestic violence</w:t>
      </w:r>
      <w:r>
        <w:t>.</w:t>
      </w:r>
    </w:p>
    <w:sectPr w:rsidR="00E25CF1" w:rsidSect="00A26EA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692F" w14:textId="77777777" w:rsidR="000B5896" w:rsidRDefault="000B5896" w:rsidP="00E83DC4">
      <w:pPr>
        <w:spacing w:after="0" w:line="240" w:lineRule="auto"/>
      </w:pPr>
      <w:r>
        <w:separator/>
      </w:r>
    </w:p>
  </w:endnote>
  <w:endnote w:type="continuationSeparator" w:id="0">
    <w:p w14:paraId="6BB308B2" w14:textId="77777777" w:rsidR="000B5896" w:rsidRDefault="000B5896" w:rsidP="00E8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altName w:val="Arial"/>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A84C" w14:textId="77777777" w:rsidR="000B5896" w:rsidRDefault="000B5896" w:rsidP="00E83DC4">
      <w:pPr>
        <w:spacing w:after="0" w:line="240" w:lineRule="auto"/>
      </w:pPr>
      <w:r>
        <w:separator/>
      </w:r>
    </w:p>
  </w:footnote>
  <w:footnote w:type="continuationSeparator" w:id="0">
    <w:p w14:paraId="3504B7DB" w14:textId="77777777" w:rsidR="000B5896" w:rsidRDefault="000B5896" w:rsidP="00E83DC4">
      <w:pPr>
        <w:spacing w:after="0" w:line="240" w:lineRule="auto"/>
      </w:pPr>
      <w:r>
        <w:continuationSeparator/>
      </w:r>
    </w:p>
  </w:footnote>
  <w:footnote w:id="1">
    <w:p w14:paraId="0AE7B874" w14:textId="4DFCF0BB" w:rsidR="00ED62A8" w:rsidRPr="00662B3B" w:rsidRDefault="00ED62A8"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780FB7" w:rsidRPr="00662B3B">
        <w:rPr>
          <w:sz w:val="18"/>
          <w:szCs w:val="18"/>
          <w:lang w:val="en-US"/>
        </w:rPr>
        <w:t>D</w:t>
      </w:r>
      <w:r w:rsidRPr="00662B3B">
        <w:rPr>
          <w:sz w:val="18"/>
          <w:szCs w:val="18"/>
          <w:lang w:val="en-US"/>
        </w:rPr>
        <w:t>r. An</w:t>
      </w:r>
      <w:r w:rsidR="008C4C04" w:rsidRPr="00662B3B">
        <w:rPr>
          <w:sz w:val="18"/>
          <w:szCs w:val="18"/>
          <w:lang w:val="lt-LT"/>
        </w:rPr>
        <w:t>z</w:t>
      </w:r>
      <w:r w:rsidRPr="00662B3B">
        <w:rPr>
          <w:sz w:val="18"/>
          <w:szCs w:val="18"/>
          <w:lang w:val="lt-LT"/>
        </w:rPr>
        <w:t>elika Banevi</w:t>
      </w:r>
      <w:r w:rsidR="008C4C04" w:rsidRPr="00662B3B">
        <w:rPr>
          <w:sz w:val="18"/>
          <w:szCs w:val="18"/>
          <w:lang w:val="lt-LT"/>
        </w:rPr>
        <w:t>c</w:t>
      </w:r>
      <w:r w:rsidRPr="00662B3B">
        <w:rPr>
          <w:sz w:val="18"/>
          <w:szCs w:val="18"/>
          <w:lang w:val="lt-LT"/>
        </w:rPr>
        <w:t>ien</w:t>
      </w:r>
      <w:r w:rsidR="008C4C04" w:rsidRPr="00662B3B">
        <w:rPr>
          <w:sz w:val="18"/>
          <w:szCs w:val="18"/>
          <w:lang w:val="lt-LT"/>
        </w:rPr>
        <w:t>e</w:t>
      </w:r>
      <w:r w:rsidR="00E06DCB" w:rsidRPr="00662B3B">
        <w:rPr>
          <w:sz w:val="18"/>
          <w:szCs w:val="18"/>
        </w:rPr>
        <w:t xml:space="preserve">, </w:t>
      </w:r>
      <w:r w:rsidRPr="00662B3B">
        <w:rPr>
          <w:sz w:val="18"/>
          <w:szCs w:val="18"/>
        </w:rPr>
        <w:t xml:space="preserve">Institute of Law and Law Enforcement of the </w:t>
      </w:r>
      <w:proofErr w:type="spellStart"/>
      <w:r w:rsidR="00B30BFD" w:rsidRPr="00B30BFD">
        <w:rPr>
          <w:sz w:val="18"/>
          <w:szCs w:val="18"/>
        </w:rPr>
        <w:t>Mykolas</w:t>
      </w:r>
      <w:proofErr w:type="spellEnd"/>
      <w:r w:rsidR="00B30BFD" w:rsidRPr="00B30BFD">
        <w:rPr>
          <w:sz w:val="18"/>
          <w:szCs w:val="18"/>
        </w:rPr>
        <w:t xml:space="preserve"> </w:t>
      </w:r>
      <w:proofErr w:type="spellStart"/>
      <w:r w:rsidR="00B30BFD" w:rsidRPr="00B30BFD">
        <w:rPr>
          <w:sz w:val="18"/>
          <w:szCs w:val="18"/>
        </w:rPr>
        <w:t>Romeris</w:t>
      </w:r>
      <w:proofErr w:type="spellEnd"/>
      <w:r w:rsidR="00B30BFD" w:rsidRPr="00B30BFD">
        <w:rPr>
          <w:sz w:val="18"/>
          <w:szCs w:val="18"/>
        </w:rPr>
        <w:t xml:space="preserve"> </w:t>
      </w:r>
      <w:proofErr w:type="gramStart"/>
      <w:r w:rsidR="00B30BFD">
        <w:rPr>
          <w:sz w:val="18"/>
          <w:szCs w:val="18"/>
        </w:rPr>
        <w:t>U</w:t>
      </w:r>
      <w:r w:rsidR="00B30BFD" w:rsidRPr="00B30BFD">
        <w:rPr>
          <w:sz w:val="18"/>
          <w:szCs w:val="18"/>
        </w:rPr>
        <w:t>niversity‘</w:t>
      </w:r>
      <w:proofErr w:type="gramEnd"/>
      <w:r w:rsidR="00B30BFD" w:rsidRPr="00B30BFD">
        <w:rPr>
          <w:sz w:val="18"/>
          <w:szCs w:val="18"/>
        </w:rPr>
        <w:t>s Academy of Public Security, Lithuania</w:t>
      </w:r>
      <w:r w:rsidR="00B30BFD">
        <w:rPr>
          <w:sz w:val="18"/>
          <w:szCs w:val="18"/>
        </w:rPr>
        <w:t>.</w:t>
      </w:r>
    </w:p>
  </w:footnote>
  <w:footnote w:id="2">
    <w:p w14:paraId="232AD434" w14:textId="1F560DBC" w:rsidR="00E83DC4" w:rsidRPr="00662B3B" w:rsidRDefault="00E83DC4"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5B25D7" w:rsidRPr="00662B3B">
        <w:rPr>
          <w:sz w:val="18"/>
          <w:szCs w:val="18"/>
        </w:rPr>
        <w:t xml:space="preserve">Website of the State Data Agency, </w:t>
      </w:r>
      <w:hyperlink r:id="rId1" w:history="1">
        <w:r w:rsidR="005B25D7" w:rsidRPr="00662B3B">
          <w:rPr>
            <w:rStyle w:val="Hyperlink"/>
            <w:sz w:val="18"/>
            <w:szCs w:val="18"/>
          </w:rPr>
          <w:t>https://osp.stat.gov.lt/</w:t>
        </w:r>
      </w:hyperlink>
    </w:p>
  </w:footnote>
  <w:footnote w:id="3">
    <w:p w14:paraId="1B797770" w14:textId="0F79F91E" w:rsidR="0089292F" w:rsidRPr="00662B3B" w:rsidRDefault="0089292F" w:rsidP="00662B3B">
      <w:pPr>
        <w:pStyle w:val="FootnoteText"/>
        <w:jc w:val="both"/>
        <w:rPr>
          <w:sz w:val="18"/>
          <w:szCs w:val="18"/>
          <w:lang w:eastAsia="ko-KR"/>
        </w:rPr>
      </w:pPr>
      <w:r w:rsidRPr="00662B3B">
        <w:rPr>
          <w:rStyle w:val="FootnoteReference"/>
          <w:sz w:val="18"/>
          <w:szCs w:val="18"/>
        </w:rPr>
        <w:footnoteRef/>
      </w:r>
      <w:r w:rsidR="00A94904" w:rsidRPr="00662B3B">
        <w:rPr>
          <w:sz w:val="18"/>
          <w:szCs w:val="18"/>
          <w:lang w:eastAsia="ko-KR"/>
        </w:rPr>
        <w:t xml:space="preserve"> </w:t>
      </w:r>
      <w:r w:rsidRPr="00662B3B">
        <w:rPr>
          <w:rFonts w:hint="eastAsia"/>
          <w:sz w:val="18"/>
          <w:szCs w:val="18"/>
          <w:lang w:eastAsia="ko-KR"/>
        </w:rPr>
        <w:t>I</w:t>
      </w:r>
      <w:r w:rsidRPr="00662B3B">
        <w:rPr>
          <w:sz w:val="18"/>
          <w:szCs w:val="18"/>
          <w:lang w:eastAsia="ko-KR"/>
        </w:rPr>
        <w:t>bid</w:t>
      </w:r>
      <w:r w:rsidR="00856CB0" w:rsidRPr="00662B3B">
        <w:rPr>
          <w:sz w:val="18"/>
          <w:szCs w:val="18"/>
          <w:lang w:eastAsia="ko-KR"/>
        </w:rPr>
        <w:t>.</w:t>
      </w:r>
    </w:p>
  </w:footnote>
  <w:footnote w:id="4">
    <w:p w14:paraId="544E1BE8" w14:textId="5556B011" w:rsidR="003B29FD" w:rsidRPr="00662B3B" w:rsidRDefault="003B29FD" w:rsidP="00662B3B">
      <w:pPr>
        <w:pStyle w:val="FootnoteText"/>
        <w:jc w:val="both"/>
        <w:rPr>
          <w:sz w:val="18"/>
          <w:szCs w:val="18"/>
        </w:rPr>
      </w:pPr>
      <w:r w:rsidRPr="00662B3B">
        <w:rPr>
          <w:rStyle w:val="FootnoteReference"/>
          <w:sz w:val="18"/>
          <w:szCs w:val="18"/>
        </w:rPr>
        <w:footnoteRef/>
      </w:r>
      <w:r w:rsidRPr="00662B3B">
        <w:rPr>
          <w:sz w:val="18"/>
          <w:szCs w:val="18"/>
        </w:rPr>
        <w:t xml:space="preserve"> Ibid</w:t>
      </w:r>
      <w:r w:rsidR="00856CB0" w:rsidRPr="00662B3B">
        <w:rPr>
          <w:sz w:val="18"/>
          <w:szCs w:val="18"/>
        </w:rPr>
        <w:t>.</w:t>
      </w:r>
    </w:p>
  </w:footnote>
  <w:footnote w:id="5">
    <w:p w14:paraId="23281952" w14:textId="40676621" w:rsidR="00A94904" w:rsidRPr="00662B3B" w:rsidRDefault="00A94904"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5B25D7" w:rsidRPr="00662B3B">
        <w:rPr>
          <w:sz w:val="18"/>
          <w:szCs w:val="18"/>
        </w:rPr>
        <w:t xml:space="preserve">Website of the Lithuanian Bar Association, </w:t>
      </w:r>
      <w:hyperlink r:id="rId2" w:history="1">
        <w:r w:rsidR="005B25D7" w:rsidRPr="00662B3B">
          <w:rPr>
            <w:rStyle w:val="Hyperlink"/>
            <w:sz w:val="18"/>
            <w:szCs w:val="18"/>
          </w:rPr>
          <w:t>https://www.advokatura.lt/</w:t>
        </w:r>
      </w:hyperlink>
      <w:r w:rsidRPr="00662B3B">
        <w:rPr>
          <w:sz w:val="18"/>
          <w:szCs w:val="18"/>
        </w:rPr>
        <w:t xml:space="preserve"> </w:t>
      </w:r>
    </w:p>
  </w:footnote>
  <w:footnote w:id="6">
    <w:p w14:paraId="5B002F8D" w14:textId="08BF5D92" w:rsidR="00A94904" w:rsidRPr="00662B3B" w:rsidRDefault="00A94904" w:rsidP="00662B3B">
      <w:pPr>
        <w:pStyle w:val="FootnoteText"/>
        <w:jc w:val="both"/>
        <w:rPr>
          <w:sz w:val="18"/>
          <w:szCs w:val="18"/>
          <w:lang w:eastAsia="ko-KR"/>
        </w:rPr>
      </w:pPr>
      <w:r w:rsidRPr="00662B3B">
        <w:rPr>
          <w:rStyle w:val="FootnoteReference"/>
          <w:sz w:val="18"/>
          <w:szCs w:val="18"/>
        </w:rPr>
        <w:footnoteRef/>
      </w:r>
      <w:r w:rsidR="005B25D7" w:rsidRPr="00662B3B">
        <w:rPr>
          <w:sz w:val="18"/>
          <w:szCs w:val="18"/>
        </w:rPr>
        <w:t xml:space="preserve"> Website of the State-guaranteed Legal Aid Service (</w:t>
      </w:r>
      <w:proofErr w:type="spellStart"/>
      <w:r w:rsidR="005B25D7" w:rsidRPr="00662B3B">
        <w:rPr>
          <w:i/>
          <w:iCs/>
          <w:sz w:val="18"/>
          <w:szCs w:val="18"/>
        </w:rPr>
        <w:t>Valstybės</w:t>
      </w:r>
      <w:proofErr w:type="spellEnd"/>
      <w:r w:rsidR="005B25D7" w:rsidRPr="00662B3B">
        <w:rPr>
          <w:i/>
          <w:iCs/>
          <w:sz w:val="18"/>
          <w:szCs w:val="18"/>
        </w:rPr>
        <w:t xml:space="preserve"> </w:t>
      </w:r>
      <w:proofErr w:type="spellStart"/>
      <w:r w:rsidR="005B25D7" w:rsidRPr="00662B3B">
        <w:rPr>
          <w:i/>
          <w:iCs/>
          <w:sz w:val="18"/>
          <w:szCs w:val="18"/>
        </w:rPr>
        <w:t>garantuojamos</w:t>
      </w:r>
      <w:proofErr w:type="spellEnd"/>
      <w:r w:rsidR="005B25D7" w:rsidRPr="00662B3B">
        <w:rPr>
          <w:i/>
          <w:iCs/>
          <w:sz w:val="18"/>
          <w:szCs w:val="18"/>
        </w:rPr>
        <w:t xml:space="preserve"> </w:t>
      </w:r>
      <w:proofErr w:type="spellStart"/>
      <w:r w:rsidR="005B25D7" w:rsidRPr="00662B3B">
        <w:rPr>
          <w:i/>
          <w:iCs/>
          <w:sz w:val="18"/>
          <w:szCs w:val="18"/>
        </w:rPr>
        <w:t>teisinės</w:t>
      </w:r>
      <w:proofErr w:type="spellEnd"/>
      <w:r w:rsidR="005B25D7" w:rsidRPr="00662B3B">
        <w:rPr>
          <w:i/>
          <w:iCs/>
          <w:sz w:val="18"/>
          <w:szCs w:val="18"/>
        </w:rPr>
        <w:t xml:space="preserve"> </w:t>
      </w:r>
      <w:proofErr w:type="spellStart"/>
      <w:r w:rsidR="005B25D7" w:rsidRPr="00662B3B">
        <w:rPr>
          <w:i/>
          <w:iCs/>
          <w:sz w:val="18"/>
          <w:szCs w:val="18"/>
        </w:rPr>
        <w:t>pagalbos</w:t>
      </w:r>
      <w:proofErr w:type="spellEnd"/>
      <w:r w:rsidR="005B25D7" w:rsidRPr="00662B3B">
        <w:rPr>
          <w:i/>
          <w:iCs/>
          <w:sz w:val="18"/>
          <w:szCs w:val="18"/>
        </w:rPr>
        <w:t xml:space="preserve"> </w:t>
      </w:r>
      <w:proofErr w:type="spellStart"/>
      <w:r w:rsidR="005B25D7" w:rsidRPr="00662B3B">
        <w:rPr>
          <w:i/>
          <w:iCs/>
          <w:sz w:val="18"/>
          <w:szCs w:val="18"/>
        </w:rPr>
        <w:t>tarnyba</w:t>
      </w:r>
      <w:proofErr w:type="spellEnd"/>
      <w:r w:rsidR="005B25D7" w:rsidRPr="00662B3B">
        <w:rPr>
          <w:sz w:val="18"/>
          <w:szCs w:val="18"/>
        </w:rPr>
        <w:t xml:space="preserve">), </w:t>
      </w:r>
      <w:r w:rsidRPr="00662B3B">
        <w:rPr>
          <w:sz w:val="18"/>
          <w:szCs w:val="18"/>
        </w:rPr>
        <w:t xml:space="preserve"> </w:t>
      </w:r>
      <w:hyperlink r:id="rId3" w:history="1">
        <w:r w:rsidRPr="00662B3B">
          <w:rPr>
            <w:rStyle w:val="Hyperlink"/>
            <w:sz w:val="18"/>
            <w:szCs w:val="18"/>
          </w:rPr>
          <w:t>https://vgtpt.lrv.lt/</w:t>
        </w:r>
      </w:hyperlink>
      <w:r w:rsidRPr="00662B3B">
        <w:rPr>
          <w:sz w:val="18"/>
          <w:szCs w:val="18"/>
        </w:rPr>
        <w:t xml:space="preserve"> </w:t>
      </w:r>
    </w:p>
  </w:footnote>
  <w:footnote w:id="7">
    <w:p w14:paraId="6351870B" w14:textId="79AD508B" w:rsidR="005B25D7" w:rsidRPr="00662B3B" w:rsidRDefault="005B25D7" w:rsidP="00662B3B">
      <w:pPr>
        <w:pStyle w:val="FootnoteText"/>
        <w:jc w:val="both"/>
        <w:rPr>
          <w:sz w:val="18"/>
          <w:szCs w:val="18"/>
        </w:rPr>
      </w:pPr>
      <w:r w:rsidRPr="00662B3B">
        <w:rPr>
          <w:rStyle w:val="FootnoteReference"/>
          <w:sz w:val="18"/>
          <w:szCs w:val="18"/>
        </w:rPr>
        <w:footnoteRef/>
      </w:r>
      <w:r w:rsidRPr="00662B3B">
        <w:rPr>
          <w:sz w:val="18"/>
          <w:szCs w:val="18"/>
        </w:rPr>
        <w:t xml:space="preserve"> Ibid</w:t>
      </w:r>
      <w:r w:rsidR="00856CB0" w:rsidRPr="00662B3B">
        <w:rPr>
          <w:sz w:val="18"/>
          <w:szCs w:val="18"/>
        </w:rPr>
        <w:t>.</w:t>
      </w:r>
    </w:p>
  </w:footnote>
  <w:footnote w:id="8">
    <w:p w14:paraId="5F47F4CB" w14:textId="4BECE62D" w:rsidR="00D81351" w:rsidRPr="00662B3B" w:rsidRDefault="00D81351"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55270C" w:rsidRPr="00662B3B">
        <w:rPr>
          <w:sz w:val="18"/>
          <w:szCs w:val="18"/>
        </w:rPr>
        <w:t>Lithuania, Seimas (2000), Law on State-guaranteed Legal Aid (</w:t>
      </w:r>
      <w:proofErr w:type="spellStart"/>
      <w:r w:rsidR="0055270C" w:rsidRPr="00662B3B">
        <w:rPr>
          <w:sz w:val="18"/>
          <w:szCs w:val="18"/>
        </w:rPr>
        <w:t>Lietuvos</w:t>
      </w:r>
      <w:proofErr w:type="spellEnd"/>
      <w:r w:rsidR="0055270C" w:rsidRPr="00662B3B">
        <w:rPr>
          <w:sz w:val="18"/>
          <w:szCs w:val="18"/>
        </w:rPr>
        <w:t xml:space="preserve"> </w:t>
      </w:r>
      <w:proofErr w:type="spellStart"/>
      <w:proofErr w:type="gramStart"/>
      <w:r w:rsidR="0055270C" w:rsidRPr="00662B3B">
        <w:rPr>
          <w:sz w:val="18"/>
          <w:szCs w:val="18"/>
        </w:rPr>
        <w:t>Respublikos</w:t>
      </w:r>
      <w:proofErr w:type="spellEnd"/>
      <w:r w:rsidR="0055270C" w:rsidRPr="00662B3B">
        <w:rPr>
          <w:sz w:val="18"/>
          <w:szCs w:val="18"/>
        </w:rPr>
        <w:t xml:space="preserve">  </w:t>
      </w:r>
      <w:proofErr w:type="spellStart"/>
      <w:r w:rsidR="0055270C" w:rsidRPr="00662B3B">
        <w:rPr>
          <w:sz w:val="18"/>
          <w:szCs w:val="18"/>
        </w:rPr>
        <w:t>Valstybės</w:t>
      </w:r>
      <w:proofErr w:type="spellEnd"/>
      <w:proofErr w:type="gramEnd"/>
      <w:r w:rsidR="0055270C" w:rsidRPr="00662B3B">
        <w:rPr>
          <w:sz w:val="18"/>
          <w:szCs w:val="18"/>
        </w:rPr>
        <w:t xml:space="preserve"> </w:t>
      </w:r>
      <w:proofErr w:type="spellStart"/>
      <w:r w:rsidR="0055270C" w:rsidRPr="00662B3B">
        <w:rPr>
          <w:sz w:val="18"/>
          <w:szCs w:val="18"/>
        </w:rPr>
        <w:t>garantuojamos</w:t>
      </w:r>
      <w:proofErr w:type="spellEnd"/>
      <w:r w:rsidR="0055270C" w:rsidRPr="00662B3B">
        <w:rPr>
          <w:sz w:val="18"/>
          <w:szCs w:val="18"/>
        </w:rPr>
        <w:t xml:space="preserve"> </w:t>
      </w:r>
      <w:proofErr w:type="spellStart"/>
      <w:r w:rsidR="0055270C" w:rsidRPr="00662B3B">
        <w:rPr>
          <w:sz w:val="18"/>
          <w:szCs w:val="18"/>
        </w:rPr>
        <w:t>teisinės</w:t>
      </w:r>
      <w:proofErr w:type="spellEnd"/>
      <w:r w:rsidR="0055270C" w:rsidRPr="00662B3B">
        <w:rPr>
          <w:sz w:val="18"/>
          <w:szCs w:val="18"/>
        </w:rPr>
        <w:t xml:space="preserve"> </w:t>
      </w:r>
      <w:proofErr w:type="spellStart"/>
      <w:r w:rsidR="0055270C" w:rsidRPr="00662B3B">
        <w:rPr>
          <w:sz w:val="18"/>
          <w:szCs w:val="18"/>
        </w:rPr>
        <w:t>pagalbos</w:t>
      </w:r>
      <w:proofErr w:type="spellEnd"/>
      <w:r w:rsidR="0055270C" w:rsidRPr="00662B3B">
        <w:rPr>
          <w:sz w:val="18"/>
          <w:szCs w:val="18"/>
        </w:rPr>
        <w:t xml:space="preserve"> </w:t>
      </w:r>
      <w:proofErr w:type="spellStart"/>
      <w:r w:rsidR="0055270C" w:rsidRPr="00662B3B">
        <w:rPr>
          <w:sz w:val="18"/>
          <w:szCs w:val="18"/>
        </w:rPr>
        <w:t>įstatymas</w:t>
      </w:r>
      <w:proofErr w:type="spellEnd"/>
      <w:r w:rsidR="0055270C" w:rsidRPr="00662B3B">
        <w:rPr>
          <w:sz w:val="18"/>
          <w:szCs w:val="18"/>
        </w:rPr>
        <w:t xml:space="preserve">), </w:t>
      </w:r>
      <w:proofErr w:type="spellStart"/>
      <w:r w:rsidR="0055270C" w:rsidRPr="00662B3B">
        <w:rPr>
          <w:sz w:val="18"/>
          <w:szCs w:val="18"/>
        </w:rPr>
        <w:t>No.VIII</w:t>
      </w:r>
      <w:proofErr w:type="spellEnd"/>
      <w:r w:rsidR="0055270C" w:rsidRPr="00662B3B">
        <w:rPr>
          <w:sz w:val="18"/>
          <w:szCs w:val="18"/>
        </w:rPr>
        <w:t xml:space="preserve"> - 1591, 2000, last amendment No. XIV – 1217, 28 June 2022</w:t>
      </w:r>
      <w:r w:rsidRPr="00662B3B">
        <w:rPr>
          <w:sz w:val="18"/>
          <w:szCs w:val="18"/>
        </w:rPr>
        <w:t xml:space="preserve">, Article 8. </w:t>
      </w:r>
    </w:p>
  </w:footnote>
  <w:footnote w:id="9">
    <w:p w14:paraId="7FB0E4E1" w14:textId="26487B18" w:rsidR="00CE0FAF" w:rsidRPr="00662B3B" w:rsidRDefault="00CE0FAF"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55270C" w:rsidRPr="00662B3B">
        <w:rPr>
          <w:sz w:val="18"/>
          <w:szCs w:val="18"/>
        </w:rPr>
        <w:t>Ibid.</w:t>
      </w:r>
      <w:r w:rsidRPr="00662B3B">
        <w:rPr>
          <w:sz w:val="18"/>
          <w:szCs w:val="18"/>
        </w:rPr>
        <w:t>, Article 15 (3).</w:t>
      </w:r>
    </w:p>
  </w:footnote>
  <w:footnote w:id="10">
    <w:p w14:paraId="404989C5" w14:textId="500E9811" w:rsidR="00CE0FAF" w:rsidRPr="00662B3B" w:rsidRDefault="00CE0FAF"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55270C" w:rsidRPr="00662B3B">
        <w:rPr>
          <w:sz w:val="18"/>
          <w:szCs w:val="18"/>
        </w:rPr>
        <w:t>Ibid.</w:t>
      </w:r>
      <w:r w:rsidRPr="00662B3B">
        <w:rPr>
          <w:sz w:val="18"/>
          <w:szCs w:val="18"/>
        </w:rPr>
        <w:t>, Article 15.</w:t>
      </w:r>
    </w:p>
  </w:footnote>
  <w:footnote w:id="11">
    <w:p w14:paraId="46E1ACB2" w14:textId="57B73358" w:rsidR="000F4ED3" w:rsidRPr="00662B3B" w:rsidRDefault="000F4ED3"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55270C" w:rsidRPr="00662B3B">
        <w:rPr>
          <w:sz w:val="18"/>
          <w:szCs w:val="18"/>
        </w:rPr>
        <w:t>Ibid.</w:t>
      </w:r>
      <w:r w:rsidRPr="00662B3B">
        <w:rPr>
          <w:sz w:val="18"/>
          <w:szCs w:val="18"/>
        </w:rPr>
        <w:t>, Article 9.</w:t>
      </w:r>
    </w:p>
  </w:footnote>
  <w:footnote w:id="12">
    <w:p w14:paraId="5D3567D2" w14:textId="373E2BFA" w:rsidR="00FB2E65" w:rsidRPr="00662B3B" w:rsidRDefault="00FB2E65"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55270C" w:rsidRPr="00662B3B">
        <w:rPr>
          <w:sz w:val="18"/>
          <w:szCs w:val="18"/>
        </w:rPr>
        <w:t>Ibid.</w:t>
      </w:r>
      <w:r w:rsidRPr="00662B3B">
        <w:rPr>
          <w:sz w:val="18"/>
          <w:szCs w:val="18"/>
        </w:rPr>
        <w:t xml:space="preserve">, Article </w:t>
      </w:r>
      <w:r w:rsidRPr="00662B3B">
        <w:rPr>
          <w:rFonts w:hint="eastAsia"/>
          <w:sz w:val="18"/>
          <w:szCs w:val="18"/>
          <w:lang w:eastAsia="ko-KR"/>
        </w:rPr>
        <w:t>1</w:t>
      </w:r>
      <w:r w:rsidRPr="00662B3B">
        <w:rPr>
          <w:sz w:val="18"/>
          <w:szCs w:val="18"/>
          <w:lang w:eastAsia="ko-KR"/>
        </w:rPr>
        <w:t>8.</w:t>
      </w:r>
    </w:p>
  </w:footnote>
  <w:footnote w:id="13">
    <w:p w14:paraId="41DF9CC0" w14:textId="129DAA7A" w:rsidR="001708A7" w:rsidRPr="00662B3B" w:rsidRDefault="001708A7" w:rsidP="00662B3B">
      <w:pPr>
        <w:pStyle w:val="FootnoteText"/>
        <w:jc w:val="both"/>
        <w:rPr>
          <w:sz w:val="18"/>
          <w:szCs w:val="18"/>
          <w:lang w:val="en-US"/>
        </w:rPr>
      </w:pPr>
      <w:r w:rsidRPr="00662B3B">
        <w:rPr>
          <w:rStyle w:val="FootnoteReference"/>
          <w:sz w:val="18"/>
          <w:szCs w:val="18"/>
        </w:rPr>
        <w:footnoteRef/>
      </w:r>
      <w:r w:rsidRPr="00662B3B">
        <w:rPr>
          <w:sz w:val="18"/>
          <w:szCs w:val="18"/>
        </w:rPr>
        <w:t xml:space="preserve"> </w:t>
      </w:r>
      <w:r w:rsidR="0055270C" w:rsidRPr="00662B3B">
        <w:rPr>
          <w:sz w:val="18"/>
          <w:szCs w:val="18"/>
        </w:rPr>
        <w:t>Ibid.</w:t>
      </w:r>
      <w:r w:rsidRPr="00662B3B">
        <w:rPr>
          <w:sz w:val="18"/>
          <w:szCs w:val="18"/>
        </w:rPr>
        <w:t>, Article 21.</w:t>
      </w:r>
    </w:p>
  </w:footnote>
  <w:footnote w:id="14">
    <w:p w14:paraId="64578C40" w14:textId="0A220C5E" w:rsidR="00856CB0" w:rsidRPr="00662B3B" w:rsidRDefault="00856CB0"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55270C" w:rsidRPr="00662B3B">
        <w:rPr>
          <w:sz w:val="18"/>
          <w:szCs w:val="18"/>
        </w:rPr>
        <w:t>Ibid.</w:t>
      </w:r>
      <w:r w:rsidRPr="00662B3B">
        <w:rPr>
          <w:sz w:val="18"/>
          <w:szCs w:val="18"/>
        </w:rPr>
        <w:t>, Article 17.</w:t>
      </w:r>
    </w:p>
  </w:footnote>
  <w:footnote w:id="15">
    <w:p w14:paraId="64FA158A" w14:textId="09B63D79" w:rsidR="00856CB0" w:rsidRPr="00662B3B" w:rsidRDefault="00856CB0" w:rsidP="00662B3B">
      <w:pPr>
        <w:pStyle w:val="FootnoteText"/>
        <w:jc w:val="both"/>
        <w:rPr>
          <w:sz w:val="18"/>
          <w:szCs w:val="18"/>
          <w:lang w:val="lt-LT" w:eastAsia="ko-KR"/>
        </w:rPr>
      </w:pPr>
      <w:r w:rsidRPr="00662B3B">
        <w:rPr>
          <w:rStyle w:val="FootnoteReference"/>
          <w:sz w:val="18"/>
          <w:szCs w:val="18"/>
        </w:rPr>
        <w:footnoteRef/>
      </w:r>
      <w:r w:rsidRPr="00662B3B">
        <w:rPr>
          <w:sz w:val="18"/>
          <w:szCs w:val="18"/>
        </w:rPr>
        <w:t xml:space="preserve"> </w:t>
      </w:r>
      <w:r w:rsidR="007E4DE2" w:rsidRPr="00662B3B">
        <w:rPr>
          <w:sz w:val="18"/>
          <w:szCs w:val="18"/>
        </w:rPr>
        <w:t xml:space="preserve">Government Resolution No. 364 </w:t>
      </w:r>
      <w:r w:rsidR="007E4DE2" w:rsidRPr="00662B3B">
        <w:rPr>
          <w:i/>
          <w:iCs/>
          <w:sz w:val="18"/>
          <w:szCs w:val="18"/>
        </w:rPr>
        <w:t>Regarding the approval of the payment amounts and payment rules for the provision and coordination of secondary legal aid and mediation</w:t>
      </w:r>
      <w:r w:rsidR="007E4DE2" w:rsidRPr="00662B3B">
        <w:rPr>
          <w:sz w:val="18"/>
          <w:szCs w:val="18"/>
        </w:rPr>
        <w:t xml:space="preserve">, 13/04/2016, last amendment No 491, 11/05/2022. </w:t>
      </w:r>
    </w:p>
  </w:footnote>
  <w:footnote w:id="16">
    <w:p w14:paraId="5906162A" w14:textId="746D864A" w:rsidR="004D405E" w:rsidRPr="00662B3B" w:rsidRDefault="004D405E" w:rsidP="00662B3B">
      <w:pPr>
        <w:pStyle w:val="FootnoteText"/>
        <w:jc w:val="both"/>
        <w:rPr>
          <w:sz w:val="18"/>
          <w:szCs w:val="18"/>
        </w:rPr>
      </w:pPr>
      <w:r w:rsidRPr="00662B3B">
        <w:rPr>
          <w:rStyle w:val="FootnoteReference"/>
          <w:sz w:val="18"/>
          <w:szCs w:val="18"/>
        </w:rPr>
        <w:footnoteRef/>
      </w:r>
      <w:r w:rsidRPr="00662B3B">
        <w:rPr>
          <w:sz w:val="18"/>
          <w:szCs w:val="18"/>
          <w:lang w:val="lt-LT"/>
        </w:rPr>
        <w:t xml:space="preserve"> </w:t>
      </w:r>
      <w:r w:rsidRPr="00662B3B">
        <w:rPr>
          <w:sz w:val="18"/>
          <w:szCs w:val="18"/>
        </w:rPr>
        <w:t xml:space="preserve">1 BAR - </w:t>
      </w:r>
      <w:r w:rsidR="009A27EF" w:rsidRPr="00662B3B">
        <w:rPr>
          <w:sz w:val="18"/>
          <w:szCs w:val="18"/>
        </w:rPr>
        <w:t>20</w:t>
      </w:r>
      <w:r w:rsidRPr="00662B3B">
        <w:rPr>
          <w:sz w:val="18"/>
          <w:szCs w:val="18"/>
        </w:rPr>
        <w:t xml:space="preserve"> </w:t>
      </w:r>
      <w:proofErr w:type="spellStart"/>
      <w:r w:rsidRPr="00662B3B">
        <w:rPr>
          <w:sz w:val="18"/>
          <w:szCs w:val="18"/>
        </w:rPr>
        <w:t>Eur</w:t>
      </w:r>
      <w:proofErr w:type="spellEnd"/>
      <w:r w:rsidRPr="00662B3B">
        <w:rPr>
          <w:sz w:val="18"/>
          <w:szCs w:val="18"/>
        </w:rPr>
        <w:t xml:space="preserve"> </w:t>
      </w:r>
      <w:r w:rsidR="004B3B91" w:rsidRPr="00662B3B">
        <w:rPr>
          <w:sz w:val="18"/>
          <w:szCs w:val="18"/>
        </w:rPr>
        <w:t>from 0</w:t>
      </w:r>
      <w:r w:rsidR="009A27EF" w:rsidRPr="00662B3B">
        <w:rPr>
          <w:sz w:val="18"/>
          <w:szCs w:val="18"/>
        </w:rPr>
        <w:t>5</w:t>
      </w:r>
      <w:r w:rsidR="004B3B91" w:rsidRPr="00662B3B">
        <w:rPr>
          <w:sz w:val="18"/>
          <w:szCs w:val="18"/>
        </w:rPr>
        <w:t>/</w:t>
      </w:r>
      <w:r w:rsidR="009A27EF" w:rsidRPr="00662B3B">
        <w:rPr>
          <w:sz w:val="18"/>
          <w:szCs w:val="18"/>
        </w:rPr>
        <w:t>01</w:t>
      </w:r>
      <w:r w:rsidR="004B3B91" w:rsidRPr="00662B3B">
        <w:rPr>
          <w:sz w:val="18"/>
          <w:szCs w:val="18"/>
        </w:rPr>
        <w:t>/</w:t>
      </w:r>
      <w:r w:rsidRPr="00662B3B">
        <w:rPr>
          <w:sz w:val="18"/>
          <w:szCs w:val="18"/>
        </w:rPr>
        <w:t>202</w:t>
      </w:r>
      <w:r w:rsidR="009A27EF" w:rsidRPr="00662B3B">
        <w:rPr>
          <w:sz w:val="18"/>
          <w:szCs w:val="18"/>
        </w:rPr>
        <w:t>2</w:t>
      </w:r>
      <w:r w:rsidRPr="00662B3B">
        <w:rPr>
          <w:sz w:val="18"/>
          <w:szCs w:val="18"/>
        </w:rPr>
        <w:t>.</w:t>
      </w:r>
    </w:p>
  </w:footnote>
  <w:footnote w:id="17">
    <w:p w14:paraId="5AB35B06" w14:textId="41F011AA" w:rsidR="00FB2E65" w:rsidRPr="00662B3B" w:rsidRDefault="00FB2E65"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Articles 2(6), 2(9), 2(10).</w:t>
      </w:r>
    </w:p>
  </w:footnote>
  <w:footnote w:id="18">
    <w:p w14:paraId="7D00B6D5" w14:textId="06D45C2E" w:rsidR="00E96FB5" w:rsidRPr="00662B3B" w:rsidRDefault="00E96FB5"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14 (4).</w:t>
      </w:r>
    </w:p>
  </w:footnote>
  <w:footnote w:id="19">
    <w:p w14:paraId="517AF6A1" w14:textId="1FFD930C" w:rsidR="00E96FB5" w:rsidRPr="00662B3B" w:rsidRDefault="00E96FB5"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15 (4).</w:t>
      </w:r>
    </w:p>
  </w:footnote>
  <w:footnote w:id="20">
    <w:p w14:paraId="255698EF" w14:textId="180424BE" w:rsidR="007B1754" w:rsidRPr="00662B3B" w:rsidRDefault="007B1754"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xml:space="preserve">, </w:t>
      </w:r>
      <w:bookmarkStart w:id="0" w:name="_Hlk132038850"/>
      <w:r w:rsidRPr="00662B3B">
        <w:rPr>
          <w:sz w:val="18"/>
          <w:szCs w:val="18"/>
        </w:rPr>
        <w:t>Article 11 (1)</w:t>
      </w:r>
      <w:r w:rsidR="0069578C" w:rsidRPr="00662B3B">
        <w:rPr>
          <w:sz w:val="18"/>
          <w:szCs w:val="18"/>
        </w:rPr>
        <w:t>.</w:t>
      </w:r>
      <w:bookmarkEnd w:id="0"/>
    </w:p>
  </w:footnote>
  <w:footnote w:id="21">
    <w:p w14:paraId="583F9A8F" w14:textId="5E17A1A6" w:rsidR="007B1754" w:rsidRPr="00662B3B" w:rsidRDefault="007B1754"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11 (6)</w:t>
      </w:r>
      <w:r w:rsidR="0069578C" w:rsidRPr="00662B3B">
        <w:rPr>
          <w:sz w:val="18"/>
          <w:szCs w:val="18"/>
        </w:rPr>
        <w:t>.</w:t>
      </w:r>
    </w:p>
  </w:footnote>
  <w:footnote w:id="22">
    <w:p w14:paraId="5F7C7154" w14:textId="067C2DB3" w:rsidR="0069578C" w:rsidRPr="00662B3B" w:rsidRDefault="0069578C"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2 (1).</w:t>
      </w:r>
    </w:p>
  </w:footnote>
  <w:footnote w:id="23">
    <w:p w14:paraId="53FAFDC7" w14:textId="2CADF9D5" w:rsidR="008D316E" w:rsidRPr="00662B3B" w:rsidRDefault="008D316E" w:rsidP="00662B3B">
      <w:pPr>
        <w:pStyle w:val="FootnoteText"/>
        <w:jc w:val="both"/>
        <w:rPr>
          <w:sz w:val="18"/>
          <w:szCs w:val="18"/>
          <w:lang w:val="lt-LT"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14 (11).</w:t>
      </w:r>
    </w:p>
  </w:footnote>
  <w:footnote w:id="24">
    <w:p w14:paraId="5FF14377" w14:textId="6946E792" w:rsidR="008D316E" w:rsidRPr="00662B3B" w:rsidRDefault="008D316E"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20 (1).</w:t>
      </w:r>
    </w:p>
  </w:footnote>
  <w:footnote w:id="25">
    <w:p w14:paraId="2805C8E8" w14:textId="307F0AD2" w:rsidR="00597E89" w:rsidRPr="00662B3B" w:rsidRDefault="00597E89"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890842" w:rsidRPr="00662B3B">
        <w:rPr>
          <w:sz w:val="18"/>
          <w:szCs w:val="18"/>
        </w:rPr>
        <w:t>Lithuania, Seimas (2002), Criminal procedure code (</w:t>
      </w:r>
      <w:proofErr w:type="spellStart"/>
      <w:r w:rsidR="00890842" w:rsidRPr="00662B3B">
        <w:rPr>
          <w:sz w:val="18"/>
          <w:szCs w:val="18"/>
        </w:rPr>
        <w:t>Lietuvos</w:t>
      </w:r>
      <w:proofErr w:type="spellEnd"/>
      <w:r w:rsidR="00890842" w:rsidRPr="00662B3B">
        <w:rPr>
          <w:sz w:val="18"/>
          <w:szCs w:val="18"/>
        </w:rPr>
        <w:t xml:space="preserve"> </w:t>
      </w:r>
      <w:proofErr w:type="spellStart"/>
      <w:r w:rsidR="00890842" w:rsidRPr="00662B3B">
        <w:rPr>
          <w:sz w:val="18"/>
          <w:szCs w:val="18"/>
        </w:rPr>
        <w:t>Respublikos</w:t>
      </w:r>
      <w:proofErr w:type="spellEnd"/>
      <w:r w:rsidR="00890842" w:rsidRPr="00662B3B">
        <w:rPr>
          <w:sz w:val="18"/>
          <w:szCs w:val="18"/>
        </w:rPr>
        <w:t xml:space="preserve"> </w:t>
      </w:r>
      <w:proofErr w:type="spellStart"/>
      <w:r w:rsidR="00890842" w:rsidRPr="00662B3B">
        <w:rPr>
          <w:sz w:val="18"/>
          <w:szCs w:val="18"/>
        </w:rPr>
        <w:t>Baudžiamojo</w:t>
      </w:r>
      <w:proofErr w:type="spellEnd"/>
      <w:r w:rsidR="00890842" w:rsidRPr="00662B3B">
        <w:rPr>
          <w:sz w:val="18"/>
          <w:szCs w:val="18"/>
        </w:rPr>
        <w:t xml:space="preserve"> </w:t>
      </w:r>
      <w:proofErr w:type="spellStart"/>
      <w:r w:rsidR="00890842" w:rsidRPr="00662B3B">
        <w:rPr>
          <w:sz w:val="18"/>
          <w:szCs w:val="18"/>
        </w:rPr>
        <w:t>proceso</w:t>
      </w:r>
      <w:proofErr w:type="spellEnd"/>
      <w:r w:rsidR="00890842" w:rsidRPr="00662B3B">
        <w:rPr>
          <w:sz w:val="18"/>
          <w:szCs w:val="18"/>
        </w:rPr>
        <w:t xml:space="preserve"> </w:t>
      </w:r>
      <w:proofErr w:type="spellStart"/>
      <w:r w:rsidR="00890842" w:rsidRPr="00662B3B">
        <w:rPr>
          <w:sz w:val="18"/>
          <w:szCs w:val="18"/>
        </w:rPr>
        <w:t>kodeksas</w:t>
      </w:r>
      <w:proofErr w:type="spellEnd"/>
      <w:r w:rsidR="00890842" w:rsidRPr="00662B3B">
        <w:rPr>
          <w:sz w:val="18"/>
          <w:szCs w:val="18"/>
        </w:rPr>
        <w:t>), No.  IX-785, 14 March 2002, last amendment No. XIV-1750, 22 December 2022,</w:t>
      </w:r>
      <w:r w:rsidRPr="00662B3B">
        <w:rPr>
          <w:sz w:val="18"/>
          <w:szCs w:val="18"/>
        </w:rPr>
        <w:t xml:space="preserve"> Article </w:t>
      </w:r>
      <w:r w:rsidRPr="00662B3B">
        <w:rPr>
          <w:rFonts w:hint="eastAsia"/>
          <w:sz w:val="18"/>
          <w:szCs w:val="18"/>
          <w:lang w:eastAsia="ko-KR"/>
        </w:rPr>
        <w:t>1</w:t>
      </w:r>
      <w:r w:rsidRPr="00662B3B">
        <w:rPr>
          <w:sz w:val="18"/>
          <w:szCs w:val="18"/>
          <w:lang w:eastAsia="ko-KR"/>
        </w:rPr>
        <w:t>06 (2).</w:t>
      </w:r>
      <w:r w:rsidRPr="00662B3B">
        <w:rPr>
          <w:sz w:val="18"/>
          <w:szCs w:val="18"/>
        </w:rPr>
        <w:t xml:space="preserve"> </w:t>
      </w:r>
    </w:p>
  </w:footnote>
  <w:footnote w:id="26">
    <w:p w14:paraId="6C942BD5" w14:textId="79C3AD37" w:rsidR="00E06DCB" w:rsidRPr="00662B3B" w:rsidRDefault="00E06DCB"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w:t>
      </w:r>
      <w:r w:rsidRPr="00662B3B">
        <w:rPr>
          <w:rFonts w:hint="eastAsia"/>
          <w:sz w:val="18"/>
          <w:szCs w:val="18"/>
          <w:lang w:eastAsia="ko-KR"/>
        </w:rPr>
        <w:t>1</w:t>
      </w:r>
      <w:r w:rsidRPr="00662B3B">
        <w:rPr>
          <w:sz w:val="18"/>
          <w:szCs w:val="18"/>
        </w:rPr>
        <w:t xml:space="preserve"> (2).</w:t>
      </w:r>
    </w:p>
  </w:footnote>
  <w:footnote w:id="27">
    <w:p w14:paraId="4957BE40" w14:textId="631C2A4D" w:rsidR="00E06DCB" w:rsidRPr="00662B3B" w:rsidRDefault="00E06DCB"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00123BFB" w:rsidRPr="00662B3B">
        <w:rPr>
          <w:sz w:val="18"/>
          <w:szCs w:val="18"/>
        </w:rPr>
        <w:t>, Articles 14(5), 14(6), 14(7).</w:t>
      </w:r>
    </w:p>
  </w:footnote>
  <w:footnote w:id="28">
    <w:p w14:paraId="598D1D09" w14:textId="019C496B" w:rsidR="00123BFB" w:rsidRPr="00662B3B" w:rsidRDefault="00123BFB"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Articles 14(5), 14(8).</w:t>
      </w:r>
    </w:p>
  </w:footnote>
  <w:footnote w:id="29">
    <w:p w14:paraId="75CF18D6" w14:textId="6FFE9D5A" w:rsidR="00F203DD" w:rsidRPr="00662B3B" w:rsidRDefault="00F203DD" w:rsidP="00662B3B">
      <w:pPr>
        <w:pStyle w:val="FootnoteText"/>
        <w:jc w:val="both"/>
        <w:rPr>
          <w:sz w:val="18"/>
          <w:szCs w:val="18"/>
          <w:lang w:val="en-US"/>
        </w:rPr>
      </w:pPr>
      <w:r w:rsidRPr="00662B3B">
        <w:rPr>
          <w:rStyle w:val="FootnoteReference"/>
          <w:sz w:val="18"/>
          <w:szCs w:val="18"/>
        </w:rPr>
        <w:footnoteRef/>
      </w:r>
      <w:r w:rsidRPr="00662B3B">
        <w:rPr>
          <w:sz w:val="18"/>
          <w:szCs w:val="18"/>
        </w:rPr>
        <w:t xml:space="preserve"> </w:t>
      </w:r>
      <w:r w:rsidRPr="00662B3B">
        <w:rPr>
          <w:sz w:val="18"/>
          <w:szCs w:val="18"/>
          <w:lang w:val="lt-LT"/>
        </w:rPr>
        <w:t>SSI - State-Supported income</w:t>
      </w:r>
      <w:r w:rsidR="003B26AF" w:rsidRPr="00662B3B">
        <w:rPr>
          <w:sz w:val="18"/>
          <w:szCs w:val="18"/>
          <w:lang w:val="lt-LT"/>
        </w:rPr>
        <w:t>, from 0</w:t>
      </w:r>
      <w:r w:rsidR="003B26AF" w:rsidRPr="00662B3B">
        <w:rPr>
          <w:sz w:val="18"/>
          <w:szCs w:val="18"/>
          <w:lang w:val="en-US"/>
        </w:rPr>
        <w:t>1/01/202</w:t>
      </w:r>
      <w:r w:rsidR="00830FC4" w:rsidRPr="00662B3B">
        <w:rPr>
          <w:sz w:val="18"/>
          <w:szCs w:val="18"/>
          <w:lang w:val="en-US"/>
        </w:rPr>
        <w:t>3</w:t>
      </w:r>
      <w:r w:rsidR="003B26AF" w:rsidRPr="00662B3B">
        <w:rPr>
          <w:sz w:val="18"/>
          <w:szCs w:val="18"/>
          <w:lang w:val="en-US"/>
        </w:rPr>
        <w:t xml:space="preserve"> </w:t>
      </w:r>
      <w:r w:rsidR="00830FC4" w:rsidRPr="00662B3B">
        <w:rPr>
          <w:sz w:val="18"/>
          <w:szCs w:val="18"/>
          <w:lang w:val="en-US"/>
        </w:rPr>
        <w:t>–</w:t>
      </w:r>
      <w:r w:rsidR="003B26AF" w:rsidRPr="00662B3B">
        <w:rPr>
          <w:sz w:val="18"/>
          <w:szCs w:val="18"/>
          <w:lang w:val="en-US"/>
        </w:rPr>
        <w:t xml:space="preserve"> </w:t>
      </w:r>
      <w:r w:rsidR="00830FC4" w:rsidRPr="00662B3B">
        <w:rPr>
          <w:sz w:val="18"/>
          <w:szCs w:val="18"/>
          <w:lang w:val="en-US"/>
        </w:rPr>
        <w:t>1</w:t>
      </w:r>
      <w:r w:rsidR="0055270C" w:rsidRPr="00662B3B">
        <w:rPr>
          <w:sz w:val="18"/>
          <w:szCs w:val="18"/>
          <w:lang w:val="en-US"/>
        </w:rPr>
        <w:t>57</w:t>
      </w:r>
      <w:r w:rsidR="00830FC4" w:rsidRPr="00662B3B">
        <w:rPr>
          <w:sz w:val="18"/>
          <w:szCs w:val="18"/>
          <w:lang w:val="en-US"/>
        </w:rPr>
        <w:t xml:space="preserve"> Eur.</w:t>
      </w:r>
    </w:p>
  </w:footnote>
  <w:footnote w:id="30">
    <w:p w14:paraId="2F49D21B" w14:textId="48ECCE23" w:rsidR="0081302F" w:rsidRPr="00662B3B" w:rsidRDefault="0081302F"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Government Resolution 27/04/2005 No. 468 Regarding determination of personal (family) property and personal income levels for receiving secondary legal aid, Article 1. </w:t>
      </w:r>
    </w:p>
  </w:footnote>
  <w:footnote w:id="31">
    <w:p w14:paraId="68934BE5" w14:textId="78D29AA6" w:rsidR="0081302F" w:rsidRPr="00662B3B" w:rsidRDefault="0081302F"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Pr="00662B3B">
        <w:rPr>
          <w:rFonts w:hint="eastAsia"/>
          <w:sz w:val="18"/>
          <w:szCs w:val="18"/>
          <w:lang w:eastAsia="ko-KR"/>
        </w:rPr>
        <w:t>I</w:t>
      </w:r>
      <w:r w:rsidRPr="00662B3B">
        <w:rPr>
          <w:sz w:val="18"/>
          <w:szCs w:val="18"/>
          <w:lang w:eastAsia="ko-KR"/>
        </w:rPr>
        <w:t xml:space="preserve">bid, Article 2. </w:t>
      </w:r>
    </w:p>
  </w:footnote>
  <w:footnote w:id="32">
    <w:p w14:paraId="31E88F99" w14:textId="461CAC2F" w:rsidR="00C21BEA" w:rsidRPr="00662B3B" w:rsidRDefault="00C21BEA"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xml:space="preserve">, Article 14(5); </w:t>
      </w:r>
      <w:r w:rsidR="00890842" w:rsidRPr="00662B3B">
        <w:rPr>
          <w:sz w:val="18"/>
          <w:szCs w:val="18"/>
        </w:rPr>
        <w:t>Ibid. 30</w:t>
      </w:r>
      <w:r w:rsidRPr="00662B3B">
        <w:rPr>
          <w:sz w:val="18"/>
          <w:szCs w:val="18"/>
        </w:rPr>
        <w:t>, Article 1.</w:t>
      </w:r>
    </w:p>
  </w:footnote>
  <w:footnote w:id="33">
    <w:p w14:paraId="1AFB274E" w14:textId="63C4444B" w:rsidR="00F4692B" w:rsidRPr="00662B3B" w:rsidRDefault="00F4692B"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11(11).</w:t>
      </w:r>
    </w:p>
  </w:footnote>
  <w:footnote w:id="34">
    <w:p w14:paraId="4BD7675E" w14:textId="3B83A245" w:rsidR="00A976A0" w:rsidRPr="00662B3B" w:rsidRDefault="00A976A0"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Description of the procedure for making decisions on the provision of legal aid guaranteed by a secondary state, after assessing the individual situation of the applicant, approved by the Order of the Minister of Justice, 16/07/2020 No. 1R-220.</w:t>
      </w:r>
    </w:p>
  </w:footnote>
  <w:footnote w:id="35">
    <w:p w14:paraId="59105615" w14:textId="6DC249BA" w:rsidR="00A976A0" w:rsidRPr="00662B3B" w:rsidRDefault="00A976A0"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000C16F5" w:rsidRPr="00662B3B">
        <w:rPr>
          <w:sz w:val="18"/>
          <w:szCs w:val="18"/>
        </w:rPr>
        <w:t>, Article 12.</w:t>
      </w:r>
    </w:p>
  </w:footnote>
  <w:footnote w:id="36">
    <w:p w14:paraId="31DFB62E" w14:textId="6E39DE18" w:rsidR="00DE7FC7" w:rsidRPr="00662B3B" w:rsidRDefault="00DE7FC7"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890842" w:rsidRPr="00662B3B">
        <w:rPr>
          <w:sz w:val="18"/>
          <w:szCs w:val="18"/>
        </w:rPr>
        <w:t>Ibid. 25</w:t>
      </w:r>
      <w:r w:rsidR="00B11AD1" w:rsidRPr="00662B3B">
        <w:rPr>
          <w:sz w:val="18"/>
          <w:szCs w:val="18"/>
        </w:rPr>
        <w:t xml:space="preserve">, Article </w:t>
      </w:r>
      <w:r w:rsidR="00B11AD1" w:rsidRPr="00662B3B">
        <w:rPr>
          <w:sz w:val="18"/>
          <w:szCs w:val="18"/>
          <w:lang w:val="en-US" w:eastAsia="ko-KR"/>
        </w:rPr>
        <w:t>51</w:t>
      </w:r>
      <w:r w:rsidR="00B11AD1" w:rsidRPr="00662B3B">
        <w:rPr>
          <w:sz w:val="18"/>
          <w:szCs w:val="18"/>
        </w:rPr>
        <w:t>.</w:t>
      </w:r>
    </w:p>
  </w:footnote>
  <w:footnote w:id="37">
    <w:p w14:paraId="5E8DEEC0" w14:textId="4334DD52" w:rsidR="00B11AD1" w:rsidRPr="00662B3B" w:rsidRDefault="00B11AD1" w:rsidP="00662B3B">
      <w:pPr>
        <w:pStyle w:val="FootnoteText"/>
        <w:jc w:val="both"/>
        <w:rPr>
          <w:sz w:val="18"/>
          <w:szCs w:val="18"/>
          <w:lang w:val="en-US"/>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11 (7).</w:t>
      </w:r>
    </w:p>
  </w:footnote>
  <w:footnote w:id="38">
    <w:p w14:paraId="3E0CC389" w14:textId="77777777" w:rsidR="00F67993" w:rsidRPr="00662B3B" w:rsidRDefault="00F67993"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Description of the procedure for making decisions on the provision of legal aid guaranteed by a secondary state, after assessing the individual situation of the applicant, approved by the Order of the Minister of Justice, 16/07/2020 No. 1R-220.</w:t>
      </w:r>
    </w:p>
  </w:footnote>
  <w:footnote w:id="39">
    <w:p w14:paraId="37B50221" w14:textId="69072BD8" w:rsidR="009F5BD6" w:rsidRPr="00662B3B" w:rsidRDefault="009F5BD6"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bookmarkStart w:id="1" w:name="_Hlk131785288"/>
      <w:r w:rsidR="00890842" w:rsidRPr="00662B3B">
        <w:rPr>
          <w:sz w:val="18"/>
          <w:szCs w:val="18"/>
        </w:rPr>
        <w:t>Ibid. 8</w:t>
      </w:r>
      <w:r w:rsidRPr="00662B3B">
        <w:rPr>
          <w:sz w:val="18"/>
          <w:szCs w:val="18"/>
        </w:rPr>
        <w:t>, Article 8.</w:t>
      </w:r>
      <w:bookmarkEnd w:id="1"/>
    </w:p>
  </w:footnote>
  <w:footnote w:id="40">
    <w:p w14:paraId="6E8C587A" w14:textId="2BF8F409" w:rsidR="009F5BD6" w:rsidRPr="00662B3B" w:rsidRDefault="009F5BD6"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Articles 7 (2) and 9 (3).</w:t>
      </w:r>
    </w:p>
  </w:footnote>
  <w:footnote w:id="41">
    <w:p w14:paraId="7991BBF5" w14:textId="5A6B5E3B" w:rsidR="009F5BD6" w:rsidRPr="00662B3B" w:rsidRDefault="009F5BD6"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890842" w:rsidRPr="00662B3B">
        <w:rPr>
          <w:sz w:val="18"/>
          <w:szCs w:val="18"/>
        </w:rPr>
        <w:t>Ibid. 8</w:t>
      </w:r>
      <w:r w:rsidRPr="00662B3B">
        <w:rPr>
          <w:sz w:val="18"/>
          <w:szCs w:val="18"/>
        </w:rPr>
        <w:t>, Article 17.</w:t>
      </w:r>
    </w:p>
  </w:footnote>
  <w:footnote w:id="42">
    <w:p w14:paraId="6916A4CA" w14:textId="0AFEAFF9" w:rsidR="00A7237C" w:rsidRPr="00662B3B" w:rsidRDefault="00A7237C" w:rsidP="00662B3B">
      <w:pPr>
        <w:pStyle w:val="FootnoteText"/>
        <w:jc w:val="both"/>
        <w:rPr>
          <w:sz w:val="18"/>
          <w:szCs w:val="18"/>
          <w:lang w:val="en-US"/>
        </w:rPr>
      </w:pPr>
      <w:r w:rsidRPr="00662B3B">
        <w:rPr>
          <w:rStyle w:val="FootnoteReference"/>
          <w:sz w:val="18"/>
          <w:szCs w:val="18"/>
        </w:rPr>
        <w:footnoteRef/>
      </w:r>
      <w:r w:rsidRPr="00662B3B">
        <w:rPr>
          <w:sz w:val="18"/>
          <w:szCs w:val="18"/>
        </w:rPr>
        <w:t xml:space="preserve"> </w:t>
      </w:r>
      <w:r w:rsidR="000A406E" w:rsidRPr="00662B3B">
        <w:rPr>
          <w:sz w:val="18"/>
          <w:szCs w:val="18"/>
        </w:rPr>
        <w:t xml:space="preserve">Order of the Minister of Justice </w:t>
      </w:r>
      <w:bookmarkStart w:id="2" w:name="_Hlk131797408"/>
      <w:r w:rsidR="000A406E" w:rsidRPr="00662B3B">
        <w:rPr>
          <w:sz w:val="18"/>
          <w:szCs w:val="18"/>
        </w:rPr>
        <w:t>17/06/2020 No. 1R-169.</w:t>
      </w:r>
      <w:bookmarkEnd w:id="2"/>
    </w:p>
  </w:footnote>
  <w:footnote w:id="43">
    <w:p w14:paraId="572290FB" w14:textId="1080B472" w:rsidR="000A406E" w:rsidRPr="00662B3B" w:rsidRDefault="000A406E" w:rsidP="00662B3B">
      <w:pPr>
        <w:pStyle w:val="FootnoteText"/>
        <w:jc w:val="both"/>
        <w:rPr>
          <w:sz w:val="18"/>
          <w:szCs w:val="18"/>
          <w:lang w:val="en-US"/>
        </w:rPr>
      </w:pPr>
      <w:r w:rsidRPr="00662B3B">
        <w:rPr>
          <w:rStyle w:val="FootnoteReference"/>
          <w:sz w:val="18"/>
          <w:szCs w:val="18"/>
        </w:rPr>
        <w:footnoteRef/>
      </w:r>
      <w:r w:rsidRPr="00662B3B">
        <w:rPr>
          <w:sz w:val="18"/>
          <w:szCs w:val="18"/>
        </w:rPr>
        <w:t xml:space="preserve"> </w:t>
      </w:r>
      <w:hyperlink r:id="rId4" w:history="1">
        <w:r w:rsidRPr="00662B3B">
          <w:rPr>
            <w:rStyle w:val="Hyperlink"/>
            <w:sz w:val="18"/>
            <w:szCs w:val="18"/>
          </w:rPr>
          <w:t>https://vgtpt.lrv.lt/lt/prokurorams-tyrejams-ir-teismams/advokatu-mediatoriu-ir-psichologu-sarasai-1</w:t>
        </w:r>
      </w:hyperlink>
    </w:p>
  </w:footnote>
  <w:footnote w:id="44">
    <w:p w14:paraId="0967B076" w14:textId="5AF373D1" w:rsidR="000A406E" w:rsidRPr="00662B3B" w:rsidRDefault="000A406E" w:rsidP="00662B3B">
      <w:pPr>
        <w:pStyle w:val="FootnoteText"/>
        <w:jc w:val="both"/>
        <w:rPr>
          <w:sz w:val="18"/>
          <w:szCs w:val="18"/>
          <w:lang w:val="en-US"/>
        </w:rPr>
      </w:pPr>
      <w:r w:rsidRPr="00662B3B">
        <w:rPr>
          <w:rStyle w:val="FootnoteReference"/>
          <w:sz w:val="18"/>
          <w:szCs w:val="18"/>
        </w:rPr>
        <w:footnoteRef/>
      </w:r>
      <w:r w:rsidRPr="00662B3B">
        <w:rPr>
          <w:sz w:val="18"/>
          <w:szCs w:val="18"/>
        </w:rPr>
        <w:t xml:space="preserve"> </w:t>
      </w:r>
      <w:r w:rsidR="00170150" w:rsidRPr="00662B3B">
        <w:rPr>
          <w:sz w:val="18"/>
          <w:szCs w:val="18"/>
        </w:rPr>
        <w:t>Ibid. 8</w:t>
      </w:r>
      <w:r w:rsidRPr="00662B3B">
        <w:rPr>
          <w:sz w:val="18"/>
          <w:szCs w:val="18"/>
        </w:rPr>
        <w:t>, Articles 18 (5) and 18 (6).</w:t>
      </w:r>
    </w:p>
  </w:footnote>
  <w:footnote w:id="45">
    <w:p w14:paraId="4C245F0C" w14:textId="6B827ADE" w:rsidR="000A406E" w:rsidRPr="00662B3B" w:rsidRDefault="000A406E" w:rsidP="00662B3B">
      <w:pPr>
        <w:pStyle w:val="FootnoteText"/>
        <w:jc w:val="both"/>
        <w:rPr>
          <w:sz w:val="18"/>
          <w:szCs w:val="18"/>
          <w:lang w:val="en-US"/>
        </w:rPr>
      </w:pPr>
      <w:r w:rsidRPr="00662B3B">
        <w:rPr>
          <w:rStyle w:val="FootnoteReference"/>
          <w:sz w:val="18"/>
          <w:szCs w:val="18"/>
        </w:rPr>
        <w:footnoteRef/>
      </w:r>
      <w:r w:rsidRPr="00662B3B">
        <w:rPr>
          <w:sz w:val="18"/>
          <w:szCs w:val="18"/>
        </w:rPr>
        <w:t xml:space="preserve"> </w:t>
      </w:r>
      <w:r w:rsidR="008B4FB2" w:rsidRPr="00662B3B">
        <w:rPr>
          <w:sz w:val="18"/>
          <w:szCs w:val="18"/>
        </w:rPr>
        <w:t>The provisions of the competition for lawyers who continuously provide secondary legal aid, approved by the order of the Minister of Justice 17/06/2020 No. 1R-169, Article 3; Description of the procedure for concluding contracts with lawyers providing secondary legal aid in case of necessity, approved by the order of the Minister of Justice 17/06/2020 No. 1R-169, Articles 2 and 3.</w:t>
      </w:r>
    </w:p>
  </w:footnote>
  <w:footnote w:id="46">
    <w:p w14:paraId="2F52D841" w14:textId="37EC14F1" w:rsidR="00135DDE" w:rsidRPr="00662B3B" w:rsidRDefault="00135DDE"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Ibid.</w:t>
      </w:r>
    </w:p>
  </w:footnote>
  <w:footnote w:id="47">
    <w:p w14:paraId="70263F79" w14:textId="2850EE4E" w:rsidR="00F2321A" w:rsidRPr="00662B3B" w:rsidRDefault="00F2321A"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Pr="00662B3B">
        <w:rPr>
          <w:rFonts w:hint="eastAsia"/>
          <w:sz w:val="18"/>
          <w:szCs w:val="18"/>
          <w:lang w:eastAsia="ko-KR"/>
        </w:rPr>
        <w:t>I</w:t>
      </w:r>
      <w:r w:rsidRPr="00662B3B">
        <w:rPr>
          <w:sz w:val="18"/>
          <w:szCs w:val="18"/>
          <w:lang w:eastAsia="ko-KR"/>
        </w:rPr>
        <w:t xml:space="preserve">bid, Article 16. </w:t>
      </w:r>
    </w:p>
  </w:footnote>
  <w:footnote w:id="48">
    <w:p w14:paraId="7B8E25AE" w14:textId="1190AF97" w:rsidR="008B4FB2" w:rsidRPr="00662B3B" w:rsidRDefault="008B4FB2" w:rsidP="00662B3B">
      <w:pPr>
        <w:pStyle w:val="FootnoteText"/>
        <w:jc w:val="both"/>
        <w:rPr>
          <w:sz w:val="18"/>
          <w:szCs w:val="18"/>
          <w:lang w:val="lt-LT" w:eastAsia="ko-KR"/>
        </w:rPr>
      </w:pPr>
      <w:r w:rsidRPr="00662B3B">
        <w:rPr>
          <w:rStyle w:val="FootnoteReference"/>
          <w:sz w:val="18"/>
          <w:szCs w:val="18"/>
        </w:rPr>
        <w:footnoteRef/>
      </w:r>
      <w:r w:rsidRPr="00662B3B">
        <w:rPr>
          <w:sz w:val="18"/>
          <w:szCs w:val="18"/>
        </w:rPr>
        <w:t xml:space="preserve"> </w:t>
      </w:r>
      <w:r w:rsidR="00636D8F" w:rsidRPr="00662B3B">
        <w:rPr>
          <w:sz w:val="18"/>
          <w:szCs w:val="18"/>
        </w:rPr>
        <w:t xml:space="preserve">Description of the procedure for concluding contracts with lawyers providing secondary legal aid on an </w:t>
      </w:r>
      <w:r w:rsidR="00636D8F" w:rsidRPr="00662B3B">
        <w:rPr>
          <w:i/>
          <w:iCs/>
          <w:sz w:val="18"/>
          <w:szCs w:val="18"/>
        </w:rPr>
        <w:t>ad hock</w:t>
      </w:r>
      <w:r w:rsidR="00636D8F" w:rsidRPr="00662B3B">
        <w:rPr>
          <w:sz w:val="18"/>
          <w:szCs w:val="18"/>
        </w:rPr>
        <w:t xml:space="preserve"> basis, approved by the order of the Minister of Justice 17/06/2020 No. 1R-169, Articles 2 and </w:t>
      </w:r>
      <w:r w:rsidR="00636D8F" w:rsidRPr="00662B3B">
        <w:rPr>
          <w:rFonts w:hint="eastAsia"/>
          <w:sz w:val="18"/>
          <w:szCs w:val="18"/>
          <w:lang w:eastAsia="ko-KR"/>
        </w:rPr>
        <w:t>3</w:t>
      </w:r>
      <w:r w:rsidR="00636D8F" w:rsidRPr="00662B3B">
        <w:rPr>
          <w:sz w:val="18"/>
          <w:szCs w:val="18"/>
          <w:lang w:eastAsia="ko-KR"/>
        </w:rPr>
        <w:t xml:space="preserve">. </w:t>
      </w:r>
    </w:p>
  </w:footnote>
  <w:footnote w:id="49">
    <w:p w14:paraId="63306E2B" w14:textId="4493549E" w:rsidR="00636D8F" w:rsidRPr="00662B3B" w:rsidRDefault="00636D8F"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2C0C44" w:rsidRPr="00662B3B">
        <w:rPr>
          <w:sz w:val="18"/>
          <w:szCs w:val="18"/>
        </w:rPr>
        <w:t>Model contract for the continuous provision of secondary legal aid, Model contract for the provision of secondary legal aid in case of necessity, and Model contract for the provision of secondary legal aid on an ad hock basis, approved by the order of the Minister of Justice 17/06/2020 No. 1R-169.</w:t>
      </w:r>
    </w:p>
  </w:footnote>
  <w:footnote w:id="50">
    <w:p w14:paraId="56A0131E" w14:textId="774BF28A" w:rsidR="001A36CD" w:rsidRPr="00662B3B" w:rsidRDefault="001A36CD"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Description of the enhancement of the qualification and evaluation procedure for lawyers and lawyer's assistants, approved by the decision of the Lithuanian Bar Council of Lawyers on 1/07/2020.</w:t>
      </w:r>
    </w:p>
  </w:footnote>
  <w:footnote w:id="51">
    <w:p w14:paraId="756EC801" w14:textId="23DDD0DD" w:rsidR="00D62ACC" w:rsidRPr="00662B3B" w:rsidRDefault="00D62ACC"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Pr="00662B3B">
        <w:rPr>
          <w:sz w:val="18"/>
          <w:szCs w:val="18"/>
          <w:lang w:val="lt-LT"/>
        </w:rPr>
        <w:t>Ibid.</w:t>
      </w:r>
    </w:p>
  </w:footnote>
  <w:footnote w:id="52">
    <w:p w14:paraId="73B38E66" w14:textId="1F88D5FA" w:rsidR="005D29DA" w:rsidRPr="00662B3B" w:rsidRDefault="005D29DA"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497197" w:rsidRPr="00662B3B">
        <w:rPr>
          <w:sz w:val="18"/>
          <w:szCs w:val="18"/>
        </w:rPr>
        <w:t>Description of the procedure for examining lawyers' disciplinary cases, approved by the decision of the General Meeting of Lawyers of the Lithuanian Bar on 15/04/2016.</w:t>
      </w:r>
    </w:p>
  </w:footnote>
  <w:footnote w:id="53">
    <w:p w14:paraId="6F41BE41" w14:textId="0B7D3374" w:rsidR="00243BA3" w:rsidRPr="00662B3B" w:rsidRDefault="00243BA3" w:rsidP="00662B3B">
      <w:pPr>
        <w:pStyle w:val="FootnoteText"/>
        <w:jc w:val="both"/>
        <w:rPr>
          <w:sz w:val="18"/>
          <w:szCs w:val="18"/>
          <w:lang w:val="lt-LT" w:eastAsia="ko-KR"/>
        </w:rPr>
      </w:pPr>
      <w:r w:rsidRPr="00662B3B">
        <w:rPr>
          <w:rStyle w:val="FootnoteReference"/>
          <w:sz w:val="18"/>
          <w:szCs w:val="18"/>
        </w:rPr>
        <w:footnoteRef/>
      </w:r>
      <w:r w:rsidRPr="00662B3B">
        <w:rPr>
          <w:sz w:val="18"/>
          <w:szCs w:val="18"/>
        </w:rPr>
        <w:t xml:space="preserve"> </w:t>
      </w:r>
      <w:r w:rsidR="00170150" w:rsidRPr="00662B3B">
        <w:rPr>
          <w:sz w:val="18"/>
          <w:szCs w:val="18"/>
        </w:rPr>
        <w:t>Lithuania, Seimas (200</w:t>
      </w:r>
      <w:r w:rsidR="00170150" w:rsidRPr="00662B3B">
        <w:rPr>
          <w:rFonts w:hint="eastAsia"/>
          <w:sz w:val="18"/>
          <w:szCs w:val="18"/>
          <w:lang w:eastAsia="ko-KR"/>
        </w:rPr>
        <w:t>4</w:t>
      </w:r>
      <w:r w:rsidR="00170150" w:rsidRPr="00662B3B">
        <w:rPr>
          <w:sz w:val="18"/>
          <w:szCs w:val="18"/>
        </w:rPr>
        <w:t>), Law of the Bar (</w:t>
      </w:r>
      <w:proofErr w:type="spellStart"/>
      <w:r w:rsidR="00170150" w:rsidRPr="00662B3B">
        <w:rPr>
          <w:sz w:val="18"/>
          <w:szCs w:val="18"/>
        </w:rPr>
        <w:t>Lietuvos</w:t>
      </w:r>
      <w:proofErr w:type="spellEnd"/>
      <w:r w:rsidR="00170150" w:rsidRPr="00662B3B">
        <w:rPr>
          <w:sz w:val="18"/>
          <w:szCs w:val="18"/>
        </w:rPr>
        <w:t xml:space="preserve"> </w:t>
      </w:r>
      <w:proofErr w:type="spellStart"/>
      <w:r w:rsidR="00170150" w:rsidRPr="00662B3B">
        <w:rPr>
          <w:sz w:val="18"/>
          <w:szCs w:val="18"/>
        </w:rPr>
        <w:t>Respublikos</w:t>
      </w:r>
      <w:proofErr w:type="spellEnd"/>
      <w:r w:rsidR="00170150" w:rsidRPr="00662B3B">
        <w:rPr>
          <w:sz w:val="18"/>
          <w:szCs w:val="18"/>
        </w:rPr>
        <w:t xml:space="preserve"> </w:t>
      </w:r>
      <w:proofErr w:type="spellStart"/>
      <w:r w:rsidR="00170150" w:rsidRPr="00662B3B">
        <w:rPr>
          <w:sz w:val="18"/>
          <w:szCs w:val="18"/>
        </w:rPr>
        <w:t>advokatūros</w:t>
      </w:r>
      <w:proofErr w:type="spellEnd"/>
      <w:r w:rsidR="00170150" w:rsidRPr="00662B3B">
        <w:rPr>
          <w:sz w:val="18"/>
          <w:szCs w:val="18"/>
        </w:rPr>
        <w:t xml:space="preserve"> </w:t>
      </w:r>
      <w:proofErr w:type="spellStart"/>
      <w:r w:rsidR="00170150" w:rsidRPr="00662B3B">
        <w:rPr>
          <w:sz w:val="18"/>
          <w:szCs w:val="18"/>
        </w:rPr>
        <w:t>įstatymas</w:t>
      </w:r>
      <w:proofErr w:type="spellEnd"/>
      <w:r w:rsidR="00170150" w:rsidRPr="00662B3B">
        <w:rPr>
          <w:sz w:val="18"/>
          <w:szCs w:val="18"/>
        </w:rPr>
        <w:t xml:space="preserve">), No.  IX-2066, 18 March 2004, last amendment No. XIV-1360, 30 July 2022, </w:t>
      </w:r>
      <w:r w:rsidRPr="00662B3B">
        <w:rPr>
          <w:sz w:val="18"/>
          <w:szCs w:val="18"/>
        </w:rPr>
        <w:t xml:space="preserve">Article </w:t>
      </w:r>
      <w:r w:rsidRPr="00662B3B">
        <w:rPr>
          <w:rFonts w:hint="eastAsia"/>
          <w:sz w:val="18"/>
          <w:szCs w:val="18"/>
          <w:lang w:eastAsia="ko-KR"/>
        </w:rPr>
        <w:t>5</w:t>
      </w:r>
      <w:r w:rsidRPr="00662B3B">
        <w:rPr>
          <w:sz w:val="18"/>
          <w:szCs w:val="18"/>
          <w:lang w:eastAsia="ko-KR"/>
        </w:rPr>
        <w:t xml:space="preserve">2 (2). </w:t>
      </w:r>
    </w:p>
  </w:footnote>
  <w:footnote w:id="54">
    <w:p w14:paraId="596C7490" w14:textId="60E03DCE" w:rsidR="00243BA3" w:rsidRPr="00662B3B" w:rsidRDefault="00243BA3"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r w:rsidR="00170150" w:rsidRPr="00662B3B">
        <w:rPr>
          <w:sz w:val="18"/>
          <w:szCs w:val="18"/>
        </w:rPr>
        <w:t>Ibid.</w:t>
      </w:r>
      <w:r w:rsidRPr="00662B3B">
        <w:rPr>
          <w:sz w:val="18"/>
          <w:szCs w:val="18"/>
        </w:rPr>
        <w:t xml:space="preserve">, Article </w:t>
      </w:r>
      <w:r w:rsidRPr="00662B3B">
        <w:rPr>
          <w:rFonts w:hint="eastAsia"/>
          <w:sz w:val="18"/>
          <w:szCs w:val="18"/>
          <w:lang w:eastAsia="ko-KR"/>
        </w:rPr>
        <w:t>5</w:t>
      </w:r>
      <w:r w:rsidRPr="00662B3B">
        <w:rPr>
          <w:sz w:val="18"/>
          <w:szCs w:val="18"/>
          <w:lang w:eastAsia="ko-KR"/>
        </w:rPr>
        <w:t>3.</w:t>
      </w:r>
    </w:p>
  </w:footnote>
  <w:footnote w:id="55">
    <w:p w14:paraId="0E1F162F" w14:textId="211F0274" w:rsidR="007A34CE" w:rsidRPr="00662B3B" w:rsidRDefault="007A34CE" w:rsidP="00662B3B">
      <w:pPr>
        <w:pStyle w:val="FootnoteText"/>
        <w:jc w:val="both"/>
        <w:rPr>
          <w:sz w:val="18"/>
          <w:szCs w:val="18"/>
          <w:lang w:eastAsia="ko-KR"/>
        </w:rPr>
      </w:pPr>
      <w:r w:rsidRPr="00662B3B">
        <w:rPr>
          <w:rStyle w:val="FootnoteReference"/>
          <w:sz w:val="18"/>
          <w:szCs w:val="18"/>
        </w:rPr>
        <w:footnoteRef/>
      </w:r>
      <w:r w:rsidRPr="00662B3B">
        <w:rPr>
          <w:sz w:val="18"/>
          <w:szCs w:val="18"/>
        </w:rPr>
        <w:t xml:space="preserve"> </w:t>
      </w:r>
      <w:hyperlink r:id="rId5" w:history="1">
        <w:r w:rsidRPr="00662B3B">
          <w:rPr>
            <w:rStyle w:val="Hyperlink"/>
            <w:sz w:val="18"/>
            <w:szCs w:val="18"/>
          </w:rPr>
          <w:t>https://vgtpt.lrv.lt/lt/ivertinkite-suteiktas-paslaugas/advokatu</w:t>
        </w:r>
      </w:hyperlink>
      <w:r w:rsidRPr="00662B3B">
        <w:rPr>
          <w:sz w:val="18"/>
          <w:szCs w:val="18"/>
        </w:rPr>
        <w:t xml:space="preserve">, </w:t>
      </w:r>
      <w:hyperlink r:id="rId6" w:history="1">
        <w:r w:rsidRPr="00662B3B">
          <w:rPr>
            <w:rStyle w:val="Hyperlink"/>
            <w:sz w:val="18"/>
            <w:szCs w:val="18"/>
          </w:rPr>
          <w:t>https://vgtpt.lrv.lt/lt/ivertinkite-suteiktas-paslaugas/tarnybos</w:t>
        </w:r>
      </w:hyperlink>
    </w:p>
  </w:footnote>
  <w:footnote w:id="56">
    <w:p w14:paraId="5842F415" w14:textId="1460FEF1" w:rsidR="00343050" w:rsidRPr="00662B3B" w:rsidRDefault="00343050"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hyperlink r:id="rId7" w:history="1">
        <w:r w:rsidRPr="00662B3B">
          <w:rPr>
            <w:rStyle w:val="Hyperlink"/>
            <w:sz w:val="18"/>
            <w:szCs w:val="18"/>
          </w:rPr>
          <w:t>https://teisis.lt/external/home/main</w:t>
        </w:r>
      </w:hyperlink>
    </w:p>
  </w:footnote>
  <w:footnote w:id="57">
    <w:p w14:paraId="2A374547" w14:textId="09E4465B" w:rsidR="00FD224F" w:rsidRPr="00662B3B" w:rsidRDefault="00FD224F" w:rsidP="00662B3B">
      <w:pPr>
        <w:pStyle w:val="FootnoteText"/>
        <w:jc w:val="both"/>
        <w:rPr>
          <w:sz w:val="18"/>
          <w:szCs w:val="18"/>
          <w:lang w:val="lt-LT"/>
        </w:rPr>
      </w:pPr>
      <w:r w:rsidRPr="00662B3B">
        <w:rPr>
          <w:rStyle w:val="FootnoteReference"/>
          <w:sz w:val="18"/>
          <w:szCs w:val="18"/>
        </w:rPr>
        <w:footnoteRef/>
      </w:r>
      <w:r w:rsidRPr="00662B3B">
        <w:rPr>
          <w:sz w:val="18"/>
          <w:szCs w:val="18"/>
          <w:lang w:val="lt-LT"/>
        </w:rPr>
        <w:t xml:space="preserve"> </w:t>
      </w:r>
      <w:hyperlink r:id="rId8" w:history="1">
        <w:r w:rsidRPr="00662B3B">
          <w:rPr>
            <w:rStyle w:val="Hyperlink"/>
            <w:sz w:val="18"/>
            <w:szCs w:val="18"/>
            <w:lang w:val="lt-LT"/>
          </w:rPr>
          <w:t>https://teisesklinika.vdu.lt/</w:t>
        </w:r>
      </w:hyperlink>
    </w:p>
  </w:footnote>
  <w:footnote w:id="58">
    <w:p w14:paraId="24779E5B" w14:textId="0F789BD2" w:rsidR="00FD224F" w:rsidRPr="00662B3B" w:rsidRDefault="00FD224F" w:rsidP="00662B3B">
      <w:pPr>
        <w:pStyle w:val="FootnoteText"/>
        <w:jc w:val="both"/>
        <w:rPr>
          <w:sz w:val="18"/>
          <w:szCs w:val="18"/>
          <w:lang w:val="lt-LT"/>
        </w:rPr>
      </w:pPr>
      <w:r w:rsidRPr="00662B3B">
        <w:rPr>
          <w:rStyle w:val="FootnoteReference"/>
          <w:sz w:val="18"/>
          <w:szCs w:val="18"/>
        </w:rPr>
        <w:footnoteRef/>
      </w:r>
      <w:r w:rsidRPr="00662B3B">
        <w:rPr>
          <w:sz w:val="18"/>
          <w:szCs w:val="18"/>
          <w:lang w:val="lt-LT"/>
        </w:rPr>
        <w:t xml:space="preserve"> </w:t>
      </w:r>
      <w:hyperlink r:id="rId9" w:history="1">
        <w:r w:rsidRPr="00662B3B">
          <w:rPr>
            <w:rStyle w:val="Hyperlink"/>
            <w:sz w:val="18"/>
            <w:szCs w:val="18"/>
            <w:lang w:val="lt-LT"/>
          </w:rPr>
          <w:t>https://teisesklinika.lt/</w:t>
        </w:r>
      </w:hyperlink>
    </w:p>
  </w:footnote>
  <w:footnote w:id="59">
    <w:p w14:paraId="2441BFCD" w14:textId="2B407DA1" w:rsidR="00E25CF1" w:rsidRPr="00662B3B" w:rsidRDefault="00E25CF1"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170150" w:rsidRPr="00662B3B">
        <w:rPr>
          <w:sz w:val="18"/>
          <w:szCs w:val="18"/>
        </w:rPr>
        <w:t>Ibid. 8.</w:t>
      </w:r>
    </w:p>
  </w:footnote>
  <w:footnote w:id="60">
    <w:p w14:paraId="3CA77944" w14:textId="47CF7BB9" w:rsidR="00A67E91" w:rsidRPr="00662B3B" w:rsidRDefault="00A67E91"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Pr="00662B3B">
        <w:rPr>
          <w:rFonts w:cstheme="minorHAnsi"/>
          <w:sz w:val="18"/>
          <w:szCs w:val="18"/>
        </w:rPr>
        <w:t>Lithuania, Seimas (2006), Law on Social Services (</w:t>
      </w:r>
      <w:proofErr w:type="spellStart"/>
      <w:r w:rsidRPr="00662B3B">
        <w:rPr>
          <w:rFonts w:cstheme="minorHAnsi"/>
          <w:i/>
          <w:iCs/>
          <w:sz w:val="18"/>
          <w:szCs w:val="18"/>
        </w:rPr>
        <w:t>Lietuvos</w:t>
      </w:r>
      <w:proofErr w:type="spellEnd"/>
      <w:r w:rsidRPr="00662B3B">
        <w:rPr>
          <w:rFonts w:cstheme="minorHAnsi"/>
          <w:i/>
          <w:iCs/>
          <w:sz w:val="18"/>
          <w:szCs w:val="18"/>
        </w:rPr>
        <w:t xml:space="preserve"> </w:t>
      </w:r>
      <w:proofErr w:type="spellStart"/>
      <w:r w:rsidRPr="00662B3B">
        <w:rPr>
          <w:rFonts w:cstheme="minorHAnsi"/>
          <w:i/>
          <w:iCs/>
          <w:sz w:val="18"/>
          <w:szCs w:val="18"/>
        </w:rPr>
        <w:t>Respublikos</w:t>
      </w:r>
      <w:proofErr w:type="spellEnd"/>
      <w:r w:rsidRPr="00662B3B">
        <w:rPr>
          <w:rFonts w:cstheme="minorHAnsi"/>
          <w:i/>
          <w:iCs/>
          <w:sz w:val="18"/>
          <w:szCs w:val="18"/>
        </w:rPr>
        <w:t xml:space="preserve"> </w:t>
      </w:r>
      <w:proofErr w:type="spellStart"/>
      <w:r w:rsidRPr="00662B3B">
        <w:rPr>
          <w:rFonts w:cstheme="minorHAnsi"/>
          <w:i/>
          <w:iCs/>
          <w:sz w:val="18"/>
          <w:szCs w:val="18"/>
        </w:rPr>
        <w:t>socialinių</w:t>
      </w:r>
      <w:proofErr w:type="spellEnd"/>
      <w:r w:rsidRPr="00662B3B">
        <w:rPr>
          <w:rFonts w:cstheme="minorHAnsi"/>
          <w:i/>
          <w:iCs/>
          <w:sz w:val="18"/>
          <w:szCs w:val="18"/>
        </w:rPr>
        <w:t xml:space="preserve"> </w:t>
      </w:r>
      <w:proofErr w:type="spellStart"/>
      <w:r w:rsidRPr="00662B3B">
        <w:rPr>
          <w:rFonts w:cstheme="minorHAnsi"/>
          <w:i/>
          <w:iCs/>
          <w:sz w:val="18"/>
          <w:szCs w:val="18"/>
        </w:rPr>
        <w:t>paslaugų</w:t>
      </w:r>
      <w:proofErr w:type="spellEnd"/>
      <w:r w:rsidRPr="00662B3B">
        <w:rPr>
          <w:rFonts w:cstheme="minorHAnsi"/>
          <w:i/>
          <w:iCs/>
          <w:sz w:val="18"/>
          <w:szCs w:val="18"/>
        </w:rPr>
        <w:t xml:space="preserve"> </w:t>
      </w:r>
      <w:proofErr w:type="spellStart"/>
      <w:r w:rsidRPr="00662B3B">
        <w:rPr>
          <w:rFonts w:cstheme="minorHAnsi"/>
          <w:i/>
          <w:iCs/>
          <w:sz w:val="18"/>
          <w:szCs w:val="18"/>
        </w:rPr>
        <w:t>įstatymas</w:t>
      </w:r>
      <w:proofErr w:type="spellEnd"/>
      <w:r w:rsidRPr="00662B3B">
        <w:rPr>
          <w:rFonts w:cstheme="minorHAnsi"/>
          <w:sz w:val="18"/>
          <w:szCs w:val="18"/>
        </w:rPr>
        <w:t>), No. X-493, last amendment No. XIV-952, 17 March 2022.</w:t>
      </w:r>
    </w:p>
  </w:footnote>
  <w:footnote w:id="61">
    <w:p w14:paraId="2A303E88" w14:textId="653D93E0" w:rsidR="00A67E91" w:rsidRPr="00662B3B" w:rsidRDefault="00A67E91"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Pr="00662B3B">
        <w:rPr>
          <w:rFonts w:eastAsia="Arial Narrow" w:cstheme="minorHAnsi"/>
          <w:color w:val="000000" w:themeColor="text1"/>
          <w:sz w:val="18"/>
          <w:szCs w:val="18"/>
        </w:rPr>
        <w:t>Lithuania, Seimas (2021), Law on the assistance of victims of crime (</w:t>
      </w:r>
      <w:proofErr w:type="spellStart"/>
      <w:r w:rsidRPr="00662B3B">
        <w:rPr>
          <w:rFonts w:eastAsia="Arial Narrow" w:cstheme="minorHAnsi"/>
          <w:color w:val="333333"/>
          <w:sz w:val="18"/>
          <w:szCs w:val="18"/>
        </w:rPr>
        <w:t>Lietuvos</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Respublikos</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pagalbos</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nuo</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nusikalstamos</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veikos</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nukentėjusiems</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asmenims</w:t>
      </w:r>
      <w:proofErr w:type="spellEnd"/>
      <w:r w:rsidRPr="00662B3B">
        <w:rPr>
          <w:rFonts w:eastAsia="Arial Narrow" w:cstheme="minorHAnsi"/>
          <w:color w:val="333333"/>
          <w:sz w:val="18"/>
          <w:szCs w:val="18"/>
        </w:rPr>
        <w:t xml:space="preserve"> </w:t>
      </w:r>
      <w:proofErr w:type="spellStart"/>
      <w:r w:rsidRPr="00662B3B">
        <w:rPr>
          <w:rFonts w:eastAsia="Arial Narrow" w:cstheme="minorHAnsi"/>
          <w:color w:val="333333"/>
          <w:sz w:val="18"/>
          <w:szCs w:val="18"/>
        </w:rPr>
        <w:t>įstatymas</w:t>
      </w:r>
      <w:proofErr w:type="spellEnd"/>
      <w:r w:rsidRPr="00662B3B">
        <w:rPr>
          <w:rFonts w:eastAsia="Arial Narrow" w:cstheme="minorHAnsi"/>
          <w:color w:val="000000" w:themeColor="text1"/>
          <w:sz w:val="18"/>
          <w:szCs w:val="18"/>
        </w:rPr>
        <w:t>), No. XIV-169, 14 January 2021.</w:t>
      </w:r>
    </w:p>
  </w:footnote>
  <w:footnote w:id="62">
    <w:p w14:paraId="57ADEA62" w14:textId="7FF3E693" w:rsidR="00A67E91" w:rsidRPr="00662B3B" w:rsidRDefault="00A67E91"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Pr="00662B3B">
        <w:rPr>
          <w:rFonts w:eastAsia="Arial Narrow" w:cstheme="minorHAnsi"/>
          <w:color w:val="000000" w:themeColor="text1"/>
          <w:sz w:val="18"/>
          <w:szCs w:val="18"/>
        </w:rPr>
        <w:t>Lithuania, Seimas (2011), Law on protection against domestic violence (</w:t>
      </w:r>
      <w:proofErr w:type="spellStart"/>
      <w:r w:rsidRPr="00662B3B">
        <w:rPr>
          <w:rFonts w:eastAsia="Arial Narrow" w:cstheme="minorHAnsi"/>
          <w:i/>
          <w:iCs/>
          <w:color w:val="000000" w:themeColor="text1"/>
          <w:sz w:val="18"/>
          <w:szCs w:val="18"/>
        </w:rPr>
        <w:t>Lietuvos</w:t>
      </w:r>
      <w:proofErr w:type="spellEnd"/>
      <w:r w:rsidRPr="00662B3B">
        <w:rPr>
          <w:rFonts w:eastAsia="Arial Narrow" w:cstheme="minorHAnsi"/>
          <w:i/>
          <w:iCs/>
          <w:color w:val="000000" w:themeColor="text1"/>
          <w:sz w:val="18"/>
          <w:szCs w:val="18"/>
        </w:rPr>
        <w:t xml:space="preserve"> </w:t>
      </w:r>
      <w:proofErr w:type="spellStart"/>
      <w:r w:rsidRPr="00662B3B">
        <w:rPr>
          <w:rFonts w:eastAsia="Arial Narrow" w:cstheme="minorHAnsi"/>
          <w:i/>
          <w:iCs/>
          <w:color w:val="000000" w:themeColor="text1"/>
          <w:sz w:val="18"/>
          <w:szCs w:val="18"/>
        </w:rPr>
        <w:t>Respublikos</w:t>
      </w:r>
      <w:proofErr w:type="spellEnd"/>
      <w:r w:rsidRPr="00662B3B">
        <w:rPr>
          <w:rFonts w:eastAsia="Arial Narrow" w:cstheme="minorHAnsi"/>
          <w:i/>
          <w:iCs/>
          <w:color w:val="000000" w:themeColor="text1"/>
          <w:sz w:val="18"/>
          <w:szCs w:val="18"/>
        </w:rPr>
        <w:t xml:space="preserve"> </w:t>
      </w:r>
      <w:proofErr w:type="spellStart"/>
      <w:r w:rsidRPr="00662B3B">
        <w:rPr>
          <w:rFonts w:eastAsia="Arial Narrow" w:cstheme="minorHAnsi"/>
          <w:i/>
          <w:iCs/>
          <w:color w:val="000000" w:themeColor="text1"/>
          <w:sz w:val="18"/>
          <w:szCs w:val="18"/>
        </w:rPr>
        <w:t>apsaugos</w:t>
      </w:r>
      <w:proofErr w:type="spellEnd"/>
      <w:r w:rsidRPr="00662B3B">
        <w:rPr>
          <w:rFonts w:eastAsia="Arial Narrow" w:cstheme="minorHAnsi"/>
          <w:i/>
          <w:iCs/>
          <w:color w:val="000000" w:themeColor="text1"/>
          <w:sz w:val="18"/>
          <w:szCs w:val="18"/>
        </w:rPr>
        <w:t xml:space="preserve"> </w:t>
      </w:r>
      <w:proofErr w:type="spellStart"/>
      <w:r w:rsidRPr="00662B3B">
        <w:rPr>
          <w:rFonts w:eastAsia="Arial Narrow" w:cstheme="minorHAnsi"/>
          <w:i/>
          <w:iCs/>
          <w:color w:val="000000" w:themeColor="text1"/>
          <w:sz w:val="18"/>
          <w:szCs w:val="18"/>
        </w:rPr>
        <w:t>nuo</w:t>
      </w:r>
      <w:proofErr w:type="spellEnd"/>
      <w:r w:rsidRPr="00662B3B">
        <w:rPr>
          <w:rFonts w:eastAsia="Arial Narrow" w:cstheme="minorHAnsi"/>
          <w:i/>
          <w:iCs/>
          <w:color w:val="000000" w:themeColor="text1"/>
          <w:sz w:val="18"/>
          <w:szCs w:val="18"/>
        </w:rPr>
        <w:t xml:space="preserve"> </w:t>
      </w:r>
      <w:proofErr w:type="spellStart"/>
      <w:r w:rsidRPr="00662B3B">
        <w:rPr>
          <w:rFonts w:eastAsia="Arial Narrow" w:cstheme="minorHAnsi"/>
          <w:i/>
          <w:iCs/>
          <w:color w:val="000000" w:themeColor="text1"/>
          <w:sz w:val="18"/>
          <w:szCs w:val="18"/>
        </w:rPr>
        <w:t>smurto</w:t>
      </w:r>
      <w:proofErr w:type="spellEnd"/>
      <w:r w:rsidRPr="00662B3B">
        <w:rPr>
          <w:rFonts w:eastAsia="Arial Narrow" w:cstheme="minorHAnsi"/>
          <w:i/>
          <w:iCs/>
          <w:color w:val="000000" w:themeColor="text1"/>
          <w:sz w:val="18"/>
          <w:szCs w:val="18"/>
        </w:rPr>
        <w:t xml:space="preserve"> </w:t>
      </w:r>
      <w:proofErr w:type="spellStart"/>
      <w:r w:rsidRPr="00662B3B">
        <w:rPr>
          <w:rFonts w:eastAsia="Arial Narrow" w:cstheme="minorHAnsi"/>
          <w:i/>
          <w:iCs/>
          <w:color w:val="000000" w:themeColor="text1"/>
          <w:sz w:val="18"/>
          <w:szCs w:val="18"/>
        </w:rPr>
        <w:t>artimoje</w:t>
      </w:r>
      <w:proofErr w:type="spellEnd"/>
      <w:r w:rsidRPr="00662B3B">
        <w:rPr>
          <w:rFonts w:eastAsia="Arial Narrow" w:cstheme="minorHAnsi"/>
          <w:i/>
          <w:iCs/>
          <w:color w:val="000000" w:themeColor="text1"/>
          <w:sz w:val="18"/>
          <w:szCs w:val="18"/>
        </w:rPr>
        <w:t xml:space="preserve"> </w:t>
      </w:r>
      <w:proofErr w:type="spellStart"/>
      <w:r w:rsidRPr="00662B3B">
        <w:rPr>
          <w:rFonts w:eastAsia="Arial Narrow" w:cstheme="minorHAnsi"/>
          <w:i/>
          <w:iCs/>
          <w:color w:val="000000" w:themeColor="text1"/>
          <w:sz w:val="18"/>
          <w:szCs w:val="18"/>
        </w:rPr>
        <w:t>aplinkoje</w:t>
      </w:r>
      <w:proofErr w:type="spellEnd"/>
      <w:r w:rsidRPr="00662B3B">
        <w:rPr>
          <w:rFonts w:eastAsia="Arial Narrow" w:cstheme="minorHAnsi"/>
          <w:i/>
          <w:iCs/>
          <w:color w:val="000000" w:themeColor="text1"/>
          <w:sz w:val="18"/>
          <w:szCs w:val="18"/>
        </w:rPr>
        <w:t xml:space="preserve"> </w:t>
      </w:r>
      <w:proofErr w:type="spellStart"/>
      <w:r w:rsidRPr="00662B3B">
        <w:rPr>
          <w:rFonts w:eastAsia="Arial Narrow" w:cstheme="minorHAnsi"/>
          <w:i/>
          <w:iCs/>
          <w:color w:val="000000" w:themeColor="text1"/>
          <w:sz w:val="18"/>
          <w:szCs w:val="18"/>
        </w:rPr>
        <w:t>įstatymas</w:t>
      </w:r>
      <w:proofErr w:type="spellEnd"/>
      <w:r w:rsidRPr="00662B3B">
        <w:rPr>
          <w:rFonts w:eastAsia="Arial Narrow" w:cstheme="minorHAnsi"/>
          <w:color w:val="000000" w:themeColor="text1"/>
          <w:sz w:val="18"/>
          <w:szCs w:val="18"/>
        </w:rPr>
        <w:t>), No. XI-1425, 26 May 2011, last amendment No. XIV-934, 15 March 2022.</w:t>
      </w:r>
    </w:p>
  </w:footnote>
  <w:footnote w:id="63">
    <w:p w14:paraId="7010AD09" w14:textId="77777777" w:rsidR="0015021B" w:rsidRPr="00662B3B" w:rsidRDefault="0015021B" w:rsidP="00662B3B">
      <w:pPr>
        <w:jc w:val="both"/>
        <w:rPr>
          <w:rFonts w:eastAsia="Tahoma" w:cstheme="minorHAnsi"/>
          <w:sz w:val="18"/>
          <w:szCs w:val="18"/>
        </w:rPr>
      </w:pPr>
      <w:r w:rsidRPr="00662B3B">
        <w:rPr>
          <w:rFonts w:cstheme="minorHAnsi"/>
          <w:sz w:val="18"/>
          <w:szCs w:val="18"/>
          <w:vertAlign w:val="superscript"/>
        </w:rPr>
        <w:footnoteRef/>
      </w:r>
      <w:r w:rsidRPr="00662B3B">
        <w:rPr>
          <w:rFonts w:cstheme="minorHAnsi"/>
          <w:sz w:val="18"/>
          <w:szCs w:val="18"/>
        </w:rPr>
        <w:t xml:space="preserve"> </w:t>
      </w:r>
      <w:r w:rsidRPr="00662B3B">
        <w:rPr>
          <w:rFonts w:cstheme="minorHAnsi"/>
          <w:color w:val="000000" w:themeColor="text1"/>
          <w:sz w:val="18"/>
          <w:szCs w:val="18"/>
        </w:rPr>
        <w:t xml:space="preserve">Lithuania, Seimas (2020), Decision on the Program of the 18th Government of the Republic of Lithuania </w:t>
      </w:r>
      <w:r w:rsidRPr="00662B3B">
        <w:rPr>
          <w:rFonts w:cstheme="minorHAnsi"/>
          <w:i/>
          <w:iCs/>
          <w:color w:val="000000" w:themeColor="text1"/>
          <w:sz w:val="18"/>
          <w:szCs w:val="18"/>
        </w:rPr>
        <w:t>(</w:t>
      </w:r>
      <w:proofErr w:type="spellStart"/>
      <w:r w:rsidRPr="00662B3B">
        <w:rPr>
          <w:rFonts w:cstheme="minorHAnsi"/>
          <w:i/>
          <w:iCs/>
          <w:color w:val="000000" w:themeColor="text1"/>
          <w:sz w:val="18"/>
          <w:szCs w:val="18"/>
        </w:rPr>
        <w:t>Nutarimas</w:t>
      </w:r>
      <w:proofErr w:type="spellEnd"/>
      <w:r w:rsidRPr="00662B3B">
        <w:rPr>
          <w:rFonts w:cstheme="minorHAnsi"/>
          <w:i/>
          <w:iCs/>
          <w:color w:val="000000" w:themeColor="text1"/>
          <w:sz w:val="18"/>
          <w:szCs w:val="18"/>
        </w:rPr>
        <w:t xml:space="preserve"> </w:t>
      </w:r>
      <w:proofErr w:type="spellStart"/>
      <w:r w:rsidRPr="00662B3B">
        <w:rPr>
          <w:rFonts w:cstheme="minorHAnsi"/>
          <w:i/>
          <w:iCs/>
          <w:color w:val="000000" w:themeColor="text1"/>
          <w:sz w:val="18"/>
          <w:szCs w:val="18"/>
        </w:rPr>
        <w:t>d</w:t>
      </w:r>
      <w:r w:rsidRPr="00662B3B">
        <w:rPr>
          <w:rFonts w:cstheme="minorHAnsi"/>
          <w:i/>
          <w:iCs/>
          <w:color w:val="333333"/>
          <w:sz w:val="18"/>
          <w:szCs w:val="18"/>
        </w:rPr>
        <w:t>ėl</w:t>
      </w:r>
      <w:proofErr w:type="spellEnd"/>
      <w:r w:rsidRPr="00662B3B">
        <w:rPr>
          <w:rFonts w:cstheme="minorHAnsi"/>
          <w:i/>
          <w:iCs/>
          <w:color w:val="333333"/>
          <w:sz w:val="18"/>
          <w:szCs w:val="18"/>
        </w:rPr>
        <w:t xml:space="preserve"> </w:t>
      </w:r>
      <w:proofErr w:type="spellStart"/>
      <w:r w:rsidRPr="00662B3B">
        <w:rPr>
          <w:rFonts w:cstheme="minorHAnsi"/>
          <w:i/>
          <w:iCs/>
          <w:color w:val="333333"/>
          <w:sz w:val="18"/>
          <w:szCs w:val="18"/>
        </w:rPr>
        <w:t>Aštuonioliktos</w:t>
      </w:r>
      <w:proofErr w:type="spellEnd"/>
      <w:r w:rsidRPr="00662B3B">
        <w:rPr>
          <w:rFonts w:cstheme="minorHAnsi"/>
          <w:i/>
          <w:iCs/>
          <w:color w:val="333333"/>
          <w:sz w:val="18"/>
          <w:szCs w:val="18"/>
        </w:rPr>
        <w:t xml:space="preserve"> </w:t>
      </w:r>
      <w:proofErr w:type="spellStart"/>
      <w:r w:rsidRPr="00662B3B">
        <w:rPr>
          <w:rFonts w:cstheme="minorHAnsi"/>
          <w:i/>
          <w:iCs/>
          <w:color w:val="333333"/>
          <w:sz w:val="18"/>
          <w:szCs w:val="18"/>
        </w:rPr>
        <w:t>Lietuvos</w:t>
      </w:r>
      <w:proofErr w:type="spellEnd"/>
      <w:r w:rsidRPr="00662B3B">
        <w:rPr>
          <w:rFonts w:cstheme="minorHAnsi"/>
          <w:i/>
          <w:iCs/>
          <w:color w:val="333333"/>
          <w:sz w:val="18"/>
          <w:szCs w:val="18"/>
        </w:rPr>
        <w:t xml:space="preserve"> </w:t>
      </w:r>
      <w:proofErr w:type="spellStart"/>
      <w:r w:rsidRPr="00662B3B">
        <w:rPr>
          <w:rFonts w:cstheme="minorHAnsi"/>
          <w:i/>
          <w:iCs/>
          <w:color w:val="333333"/>
          <w:sz w:val="18"/>
          <w:szCs w:val="18"/>
        </w:rPr>
        <w:t>Respublikos</w:t>
      </w:r>
      <w:proofErr w:type="spellEnd"/>
      <w:r w:rsidRPr="00662B3B">
        <w:rPr>
          <w:rFonts w:cstheme="minorHAnsi"/>
          <w:i/>
          <w:iCs/>
          <w:color w:val="333333"/>
          <w:sz w:val="18"/>
          <w:szCs w:val="18"/>
        </w:rPr>
        <w:t xml:space="preserve"> </w:t>
      </w:r>
      <w:proofErr w:type="spellStart"/>
      <w:r w:rsidRPr="00662B3B">
        <w:rPr>
          <w:rFonts w:cstheme="minorHAnsi"/>
          <w:i/>
          <w:iCs/>
          <w:color w:val="333333"/>
          <w:sz w:val="18"/>
          <w:szCs w:val="18"/>
        </w:rPr>
        <w:t>Vyriausybės</w:t>
      </w:r>
      <w:proofErr w:type="spellEnd"/>
      <w:r w:rsidRPr="00662B3B">
        <w:rPr>
          <w:rFonts w:cstheme="minorHAnsi"/>
          <w:i/>
          <w:iCs/>
          <w:color w:val="333333"/>
          <w:sz w:val="18"/>
          <w:szCs w:val="18"/>
        </w:rPr>
        <w:t xml:space="preserve"> </w:t>
      </w:r>
      <w:proofErr w:type="spellStart"/>
      <w:r w:rsidRPr="00662B3B">
        <w:rPr>
          <w:rFonts w:cstheme="minorHAnsi"/>
          <w:i/>
          <w:iCs/>
          <w:color w:val="333333"/>
          <w:sz w:val="18"/>
          <w:szCs w:val="18"/>
        </w:rPr>
        <w:t>programos</w:t>
      </w:r>
      <w:proofErr w:type="spellEnd"/>
      <w:r w:rsidRPr="00662B3B">
        <w:rPr>
          <w:rFonts w:cstheme="minorHAnsi"/>
          <w:i/>
          <w:iCs/>
          <w:color w:val="000000" w:themeColor="text1"/>
          <w:sz w:val="18"/>
          <w:szCs w:val="18"/>
        </w:rPr>
        <w:t>)</w:t>
      </w:r>
      <w:r w:rsidRPr="00662B3B">
        <w:rPr>
          <w:rFonts w:cstheme="minorHAnsi"/>
          <w:color w:val="000000" w:themeColor="text1"/>
          <w:sz w:val="18"/>
          <w:szCs w:val="18"/>
        </w:rPr>
        <w:t>, No. XIV-72, 11 December 2020.</w:t>
      </w:r>
    </w:p>
  </w:footnote>
  <w:footnote w:id="64">
    <w:p w14:paraId="50B6B4D6" w14:textId="77777777" w:rsidR="00CF3CF0" w:rsidRPr="00662B3B" w:rsidRDefault="00CF3CF0" w:rsidP="00662B3B">
      <w:pPr>
        <w:jc w:val="both"/>
        <w:rPr>
          <w:rFonts w:cstheme="minorHAnsi"/>
          <w:sz w:val="18"/>
          <w:szCs w:val="18"/>
        </w:rPr>
      </w:pPr>
      <w:r w:rsidRPr="00662B3B">
        <w:rPr>
          <w:rFonts w:cstheme="minorHAnsi"/>
          <w:sz w:val="18"/>
          <w:szCs w:val="18"/>
        </w:rPr>
        <w:footnoteRef/>
      </w:r>
      <w:r w:rsidRPr="00662B3B">
        <w:rPr>
          <w:rFonts w:cstheme="minorHAnsi"/>
          <w:sz w:val="18"/>
          <w:szCs w:val="18"/>
        </w:rPr>
        <w:t xml:space="preserve"> </w:t>
      </w:r>
      <w:r w:rsidRPr="00662B3B">
        <w:rPr>
          <w:rFonts w:cstheme="minorHAnsi"/>
          <w:color w:val="000000" w:themeColor="text1"/>
          <w:sz w:val="18"/>
          <w:szCs w:val="18"/>
        </w:rPr>
        <w:t xml:space="preserve">Lithuania, Government (2020), Resolution on the Approval of the 2021-2030 National Progress Plan </w:t>
      </w:r>
      <w:r w:rsidRPr="00662B3B">
        <w:rPr>
          <w:rFonts w:cstheme="minorHAnsi"/>
          <w:i/>
          <w:iCs/>
          <w:color w:val="000000" w:themeColor="text1"/>
          <w:sz w:val="18"/>
          <w:szCs w:val="18"/>
        </w:rPr>
        <w:t>(</w:t>
      </w:r>
      <w:proofErr w:type="spellStart"/>
      <w:r w:rsidRPr="00662B3B">
        <w:rPr>
          <w:rFonts w:cstheme="minorHAnsi"/>
          <w:i/>
          <w:iCs/>
          <w:color w:val="000000" w:themeColor="text1"/>
          <w:sz w:val="18"/>
          <w:szCs w:val="18"/>
        </w:rPr>
        <w:t>Nutarimas</w:t>
      </w:r>
      <w:proofErr w:type="spellEnd"/>
      <w:r w:rsidRPr="00662B3B">
        <w:rPr>
          <w:rFonts w:cstheme="minorHAnsi"/>
          <w:i/>
          <w:iCs/>
          <w:color w:val="000000" w:themeColor="text1"/>
          <w:sz w:val="18"/>
          <w:szCs w:val="18"/>
        </w:rPr>
        <w:t xml:space="preserve"> </w:t>
      </w:r>
      <w:proofErr w:type="spellStart"/>
      <w:r w:rsidRPr="00662B3B">
        <w:rPr>
          <w:rFonts w:cstheme="minorHAnsi"/>
          <w:i/>
          <w:iCs/>
          <w:color w:val="000000" w:themeColor="text1"/>
          <w:sz w:val="18"/>
          <w:szCs w:val="18"/>
        </w:rPr>
        <w:t>Dėl</w:t>
      </w:r>
      <w:proofErr w:type="spellEnd"/>
      <w:r w:rsidRPr="00662B3B">
        <w:rPr>
          <w:rFonts w:cstheme="minorHAnsi"/>
          <w:i/>
          <w:iCs/>
          <w:color w:val="000000" w:themeColor="text1"/>
          <w:sz w:val="18"/>
          <w:szCs w:val="18"/>
        </w:rPr>
        <w:t xml:space="preserve"> 2021–2030 </w:t>
      </w:r>
      <w:proofErr w:type="spellStart"/>
      <w:r w:rsidRPr="00662B3B">
        <w:rPr>
          <w:rFonts w:cstheme="minorHAnsi"/>
          <w:i/>
          <w:iCs/>
          <w:color w:val="000000" w:themeColor="text1"/>
          <w:sz w:val="18"/>
          <w:szCs w:val="18"/>
        </w:rPr>
        <w:t>metų</w:t>
      </w:r>
      <w:proofErr w:type="spellEnd"/>
      <w:r w:rsidRPr="00662B3B">
        <w:rPr>
          <w:rFonts w:cstheme="minorHAnsi"/>
          <w:i/>
          <w:iCs/>
          <w:color w:val="000000" w:themeColor="text1"/>
          <w:sz w:val="18"/>
          <w:szCs w:val="18"/>
        </w:rPr>
        <w:t xml:space="preserve"> </w:t>
      </w:r>
      <w:proofErr w:type="spellStart"/>
      <w:r w:rsidRPr="00662B3B">
        <w:rPr>
          <w:rFonts w:cstheme="minorHAnsi"/>
          <w:i/>
          <w:iCs/>
          <w:color w:val="000000" w:themeColor="text1"/>
          <w:sz w:val="18"/>
          <w:szCs w:val="18"/>
        </w:rPr>
        <w:t>Nacionalinio</w:t>
      </w:r>
      <w:proofErr w:type="spellEnd"/>
      <w:r w:rsidRPr="00662B3B">
        <w:rPr>
          <w:rFonts w:cstheme="minorHAnsi"/>
          <w:i/>
          <w:iCs/>
          <w:color w:val="000000" w:themeColor="text1"/>
          <w:sz w:val="18"/>
          <w:szCs w:val="18"/>
        </w:rPr>
        <w:t xml:space="preserve"> </w:t>
      </w:r>
      <w:proofErr w:type="spellStart"/>
      <w:r w:rsidRPr="00662B3B">
        <w:rPr>
          <w:rFonts w:cstheme="minorHAnsi"/>
          <w:i/>
          <w:iCs/>
          <w:color w:val="000000" w:themeColor="text1"/>
          <w:sz w:val="18"/>
          <w:szCs w:val="18"/>
        </w:rPr>
        <w:t>pažangos</w:t>
      </w:r>
      <w:proofErr w:type="spellEnd"/>
      <w:r w:rsidRPr="00662B3B">
        <w:rPr>
          <w:rFonts w:cstheme="minorHAnsi"/>
          <w:i/>
          <w:iCs/>
          <w:color w:val="000000" w:themeColor="text1"/>
          <w:sz w:val="18"/>
          <w:szCs w:val="18"/>
        </w:rPr>
        <w:t xml:space="preserve"> </w:t>
      </w:r>
      <w:proofErr w:type="spellStart"/>
      <w:r w:rsidRPr="00662B3B">
        <w:rPr>
          <w:rFonts w:cstheme="minorHAnsi"/>
          <w:i/>
          <w:iCs/>
          <w:color w:val="000000" w:themeColor="text1"/>
          <w:sz w:val="18"/>
          <w:szCs w:val="18"/>
        </w:rPr>
        <w:t>plano</w:t>
      </w:r>
      <w:proofErr w:type="spellEnd"/>
      <w:r w:rsidRPr="00662B3B">
        <w:rPr>
          <w:rFonts w:cstheme="minorHAnsi"/>
          <w:i/>
          <w:iCs/>
          <w:color w:val="000000" w:themeColor="text1"/>
          <w:sz w:val="18"/>
          <w:szCs w:val="18"/>
        </w:rPr>
        <w:t xml:space="preserve"> </w:t>
      </w:r>
      <w:proofErr w:type="spellStart"/>
      <w:r w:rsidRPr="00662B3B">
        <w:rPr>
          <w:rFonts w:cstheme="minorHAnsi"/>
          <w:i/>
          <w:iCs/>
          <w:color w:val="000000" w:themeColor="text1"/>
          <w:sz w:val="18"/>
          <w:szCs w:val="18"/>
        </w:rPr>
        <w:t>patvirtinimo</w:t>
      </w:r>
      <w:proofErr w:type="spellEnd"/>
      <w:r w:rsidRPr="00662B3B">
        <w:rPr>
          <w:rFonts w:cstheme="minorHAnsi"/>
          <w:i/>
          <w:iCs/>
          <w:color w:val="000000" w:themeColor="text1"/>
          <w:sz w:val="18"/>
          <w:szCs w:val="18"/>
        </w:rPr>
        <w:t>)</w:t>
      </w:r>
      <w:r w:rsidRPr="00662B3B">
        <w:rPr>
          <w:rFonts w:cstheme="minorHAnsi"/>
          <w:color w:val="000000" w:themeColor="text1"/>
          <w:sz w:val="18"/>
          <w:szCs w:val="18"/>
        </w:rPr>
        <w:t xml:space="preserve">, No. 998, 9 September 2020, last amendment No. 797, 29 September 2021. </w:t>
      </w:r>
    </w:p>
  </w:footnote>
  <w:footnote w:id="65">
    <w:p w14:paraId="04734056" w14:textId="77777777" w:rsidR="00CF3CF0" w:rsidRPr="00662B3B" w:rsidRDefault="00CF3CF0" w:rsidP="00662B3B">
      <w:pPr>
        <w:spacing w:line="256" w:lineRule="auto"/>
        <w:jc w:val="both"/>
        <w:rPr>
          <w:rFonts w:eastAsia="Calibri" w:cstheme="minorHAnsi"/>
          <w:sz w:val="18"/>
          <w:szCs w:val="18"/>
        </w:rPr>
      </w:pPr>
      <w:r w:rsidRPr="00662B3B">
        <w:rPr>
          <w:rFonts w:cstheme="minorHAnsi"/>
          <w:sz w:val="18"/>
          <w:szCs w:val="18"/>
        </w:rPr>
        <w:footnoteRef/>
      </w:r>
      <w:r w:rsidRPr="00662B3B">
        <w:rPr>
          <w:rFonts w:eastAsia="Calibri" w:cstheme="minorHAnsi"/>
          <w:sz w:val="18"/>
          <w:szCs w:val="18"/>
        </w:rPr>
        <w:t xml:space="preserve"> Lithuania, Minister of Social Security and Labour (</w:t>
      </w:r>
      <w:proofErr w:type="spellStart"/>
      <w:r w:rsidRPr="00662B3B">
        <w:rPr>
          <w:rFonts w:eastAsia="Calibri" w:cstheme="minorHAnsi"/>
          <w:sz w:val="18"/>
          <w:szCs w:val="18"/>
        </w:rPr>
        <w:t>Socialinės</w:t>
      </w:r>
      <w:proofErr w:type="spellEnd"/>
      <w:r w:rsidRPr="00662B3B">
        <w:rPr>
          <w:rFonts w:eastAsia="Calibri" w:cstheme="minorHAnsi"/>
          <w:sz w:val="18"/>
          <w:szCs w:val="18"/>
        </w:rPr>
        <w:t xml:space="preserve"> </w:t>
      </w:r>
      <w:proofErr w:type="spellStart"/>
      <w:r w:rsidRPr="00662B3B">
        <w:rPr>
          <w:rFonts w:eastAsia="Calibri" w:cstheme="minorHAnsi"/>
          <w:sz w:val="18"/>
          <w:szCs w:val="18"/>
        </w:rPr>
        <w:t>apsaugos</w:t>
      </w:r>
      <w:proofErr w:type="spellEnd"/>
      <w:r w:rsidRPr="00662B3B">
        <w:rPr>
          <w:rFonts w:eastAsia="Calibri" w:cstheme="minorHAnsi"/>
          <w:sz w:val="18"/>
          <w:szCs w:val="18"/>
        </w:rPr>
        <w:t xml:space="preserve"> </w:t>
      </w:r>
      <w:proofErr w:type="spellStart"/>
      <w:r w:rsidRPr="00662B3B">
        <w:rPr>
          <w:rFonts w:eastAsia="Calibri" w:cstheme="minorHAnsi"/>
          <w:sz w:val="18"/>
          <w:szCs w:val="18"/>
        </w:rPr>
        <w:t>ir</w:t>
      </w:r>
      <w:proofErr w:type="spellEnd"/>
      <w:r w:rsidRPr="00662B3B">
        <w:rPr>
          <w:rFonts w:eastAsia="Calibri" w:cstheme="minorHAnsi"/>
          <w:sz w:val="18"/>
          <w:szCs w:val="18"/>
        </w:rPr>
        <w:t xml:space="preserve"> </w:t>
      </w:r>
      <w:proofErr w:type="spellStart"/>
      <w:r w:rsidRPr="00662B3B">
        <w:rPr>
          <w:rFonts w:eastAsia="Calibri" w:cstheme="minorHAnsi"/>
          <w:sz w:val="18"/>
          <w:szCs w:val="18"/>
        </w:rPr>
        <w:t>darbo</w:t>
      </w:r>
      <w:proofErr w:type="spellEnd"/>
      <w:r w:rsidRPr="00662B3B">
        <w:rPr>
          <w:rFonts w:eastAsia="Calibri" w:cstheme="minorHAnsi"/>
          <w:sz w:val="18"/>
          <w:szCs w:val="18"/>
        </w:rPr>
        <w:t xml:space="preserve"> </w:t>
      </w:r>
      <w:proofErr w:type="spellStart"/>
      <w:r w:rsidRPr="00662B3B">
        <w:rPr>
          <w:rFonts w:eastAsia="Calibri" w:cstheme="minorHAnsi"/>
          <w:sz w:val="18"/>
          <w:szCs w:val="18"/>
        </w:rPr>
        <w:t>ministerstra</w:t>
      </w:r>
      <w:proofErr w:type="spellEnd"/>
      <w:r w:rsidRPr="00662B3B">
        <w:rPr>
          <w:rFonts w:eastAsia="Calibri" w:cstheme="minorHAnsi"/>
          <w:sz w:val="18"/>
          <w:szCs w:val="18"/>
        </w:rPr>
        <w:t>) (20</w:t>
      </w:r>
      <w:r w:rsidRPr="00662B3B">
        <w:rPr>
          <w:rFonts w:eastAsia="Calibri" w:cstheme="minorHAnsi"/>
          <w:sz w:val="18"/>
          <w:szCs w:val="18"/>
          <w:lang w:val="en-US"/>
        </w:rPr>
        <w:t>22</w:t>
      </w:r>
      <w:r w:rsidRPr="00662B3B">
        <w:rPr>
          <w:rFonts w:eastAsia="Calibri" w:cstheme="minorHAnsi"/>
          <w:sz w:val="18"/>
          <w:szCs w:val="18"/>
        </w:rPr>
        <w:t>), Oder on the ‘On the approval of the 2022-2023 Action plan for the prevention of domestic violence and the provision of assistance to victims (</w:t>
      </w:r>
      <w:proofErr w:type="spellStart"/>
      <w:r w:rsidRPr="00662B3B">
        <w:rPr>
          <w:rFonts w:eastAsia="Calibri" w:cstheme="minorHAnsi"/>
          <w:sz w:val="18"/>
          <w:szCs w:val="18"/>
        </w:rPr>
        <w:t>Įsakymas</w:t>
      </w:r>
      <w:proofErr w:type="spellEnd"/>
      <w:r w:rsidRPr="00662B3B">
        <w:rPr>
          <w:rFonts w:eastAsia="Calibri" w:cstheme="minorHAnsi"/>
          <w:sz w:val="18"/>
          <w:szCs w:val="18"/>
        </w:rPr>
        <w:t xml:space="preserve"> </w:t>
      </w:r>
      <w:proofErr w:type="spellStart"/>
      <w:r w:rsidRPr="00662B3B">
        <w:rPr>
          <w:rFonts w:eastAsia="Calibri" w:cstheme="minorHAnsi"/>
          <w:i/>
          <w:iCs/>
          <w:sz w:val="18"/>
          <w:szCs w:val="18"/>
        </w:rPr>
        <w:t>Dėl</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smurto</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artimoje</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aplinkoje</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prevencijos</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ir</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pagalbos</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teikimo</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nukentėjusiems</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asmenims</w:t>
      </w:r>
      <w:proofErr w:type="spellEnd"/>
      <w:r w:rsidRPr="00662B3B">
        <w:rPr>
          <w:rFonts w:eastAsia="Calibri" w:cstheme="minorHAnsi"/>
          <w:i/>
          <w:iCs/>
          <w:sz w:val="18"/>
          <w:szCs w:val="18"/>
        </w:rPr>
        <w:t xml:space="preserve"> 2022–2023 </w:t>
      </w:r>
      <w:proofErr w:type="spellStart"/>
      <w:r w:rsidRPr="00662B3B">
        <w:rPr>
          <w:rFonts w:eastAsia="Calibri" w:cstheme="minorHAnsi"/>
          <w:i/>
          <w:iCs/>
          <w:sz w:val="18"/>
          <w:szCs w:val="18"/>
        </w:rPr>
        <w:t>metų</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veiksmų</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plano</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patvirtinimo</w:t>
      </w:r>
      <w:proofErr w:type="spellEnd"/>
      <w:r w:rsidRPr="00662B3B">
        <w:rPr>
          <w:rFonts w:eastAsia="Calibri" w:cstheme="minorHAnsi"/>
          <w:sz w:val="18"/>
          <w:szCs w:val="18"/>
        </w:rPr>
        <w:t>), No. A1-2</w:t>
      </w:r>
      <w:r w:rsidRPr="00662B3B">
        <w:rPr>
          <w:rFonts w:eastAsia="Calibri" w:cstheme="minorHAnsi"/>
          <w:sz w:val="18"/>
          <w:szCs w:val="18"/>
          <w:lang w:val="en-US"/>
        </w:rPr>
        <w:t>64</w:t>
      </w:r>
      <w:r w:rsidRPr="00662B3B">
        <w:rPr>
          <w:rFonts w:eastAsia="Calibri" w:cstheme="minorHAnsi"/>
          <w:sz w:val="18"/>
          <w:szCs w:val="18"/>
        </w:rPr>
        <w:t xml:space="preserve">, 11 April 2022, last amendment No. A1-111, 2 February 2023. </w:t>
      </w:r>
    </w:p>
  </w:footnote>
  <w:footnote w:id="66">
    <w:p w14:paraId="528A17F6" w14:textId="77777777" w:rsidR="00CF3CF0" w:rsidRPr="00662B3B" w:rsidRDefault="00CF3CF0" w:rsidP="00662B3B">
      <w:pPr>
        <w:spacing w:line="256" w:lineRule="auto"/>
        <w:jc w:val="both"/>
        <w:rPr>
          <w:rFonts w:eastAsia="Times New Roman" w:cstheme="minorHAnsi"/>
          <w:sz w:val="18"/>
          <w:szCs w:val="18"/>
        </w:rPr>
      </w:pPr>
      <w:r w:rsidRPr="00662B3B">
        <w:rPr>
          <w:rFonts w:cstheme="minorHAnsi"/>
          <w:sz w:val="18"/>
          <w:szCs w:val="18"/>
        </w:rPr>
        <w:footnoteRef/>
      </w:r>
      <w:r w:rsidRPr="00662B3B">
        <w:rPr>
          <w:rFonts w:cstheme="minorHAnsi"/>
          <w:sz w:val="18"/>
          <w:szCs w:val="18"/>
        </w:rPr>
        <w:t xml:space="preserve"> </w:t>
      </w:r>
      <w:r w:rsidRPr="00662B3B">
        <w:rPr>
          <w:rFonts w:eastAsia="Calibri" w:cstheme="minorHAnsi"/>
          <w:sz w:val="18"/>
          <w:szCs w:val="18"/>
        </w:rPr>
        <w:t>Lithuania, Seimas (</w:t>
      </w:r>
      <w:r w:rsidRPr="00662B3B">
        <w:rPr>
          <w:rFonts w:eastAsia="Calibri" w:cstheme="minorHAnsi"/>
          <w:sz w:val="18"/>
          <w:szCs w:val="18"/>
          <w:lang w:val="en-US"/>
        </w:rPr>
        <w:t xml:space="preserve">2015), Resolution </w:t>
      </w:r>
      <w:r w:rsidRPr="00662B3B">
        <w:rPr>
          <w:rFonts w:eastAsia="Calibri" w:cstheme="minorHAnsi"/>
          <w:sz w:val="18"/>
          <w:szCs w:val="18"/>
        </w:rPr>
        <w:t>On the approval of the public security development program for 2015-2025 (</w:t>
      </w:r>
      <w:proofErr w:type="spellStart"/>
      <w:r w:rsidRPr="00662B3B">
        <w:rPr>
          <w:rFonts w:eastAsia="Calibri" w:cstheme="minorHAnsi"/>
          <w:i/>
          <w:iCs/>
          <w:sz w:val="18"/>
          <w:szCs w:val="18"/>
        </w:rPr>
        <w:t>Nutarimas</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Dėl</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Viešojo</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saugumo</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plėtros</w:t>
      </w:r>
      <w:proofErr w:type="spellEnd"/>
      <w:r w:rsidRPr="00662B3B">
        <w:rPr>
          <w:rFonts w:eastAsia="Calibri" w:cstheme="minorHAnsi"/>
          <w:i/>
          <w:iCs/>
          <w:sz w:val="18"/>
          <w:szCs w:val="18"/>
        </w:rPr>
        <w:t xml:space="preserve"> 2015–2025 </w:t>
      </w:r>
      <w:proofErr w:type="spellStart"/>
      <w:r w:rsidRPr="00662B3B">
        <w:rPr>
          <w:rFonts w:eastAsia="Calibri" w:cstheme="minorHAnsi"/>
          <w:i/>
          <w:iCs/>
          <w:sz w:val="18"/>
          <w:szCs w:val="18"/>
        </w:rPr>
        <w:t>metų</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programos</w:t>
      </w:r>
      <w:proofErr w:type="spellEnd"/>
      <w:r w:rsidRPr="00662B3B">
        <w:rPr>
          <w:rFonts w:eastAsia="Calibri" w:cstheme="minorHAnsi"/>
          <w:i/>
          <w:iCs/>
          <w:sz w:val="18"/>
          <w:szCs w:val="18"/>
        </w:rPr>
        <w:t xml:space="preserve"> </w:t>
      </w:r>
      <w:proofErr w:type="spellStart"/>
      <w:r w:rsidRPr="00662B3B">
        <w:rPr>
          <w:rFonts w:eastAsia="Calibri" w:cstheme="minorHAnsi"/>
          <w:i/>
          <w:iCs/>
          <w:sz w:val="18"/>
          <w:szCs w:val="18"/>
        </w:rPr>
        <w:t>patvirtinimo</w:t>
      </w:r>
      <w:proofErr w:type="spellEnd"/>
      <w:r w:rsidRPr="00662B3B">
        <w:rPr>
          <w:rFonts w:eastAsia="Calibri" w:cstheme="minorHAnsi"/>
          <w:i/>
          <w:iCs/>
          <w:sz w:val="18"/>
          <w:szCs w:val="18"/>
        </w:rPr>
        <w:t xml:space="preserve">), </w:t>
      </w:r>
      <w:r w:rsidRPr="00662B3B">
        <w:rPr>
          <w:rFonts w:eastAsia="Calibri" w:cstheme="minorHAnsi"/>
          <w:sz w:val="18"/>
          <w:szCs w:val="18"/>
        </w:rPr>
        <w:t>No. XII-1</w:t>
      </w:r>
      <w:r w:rsidRPr="00662B3B">
        <w:rPr>
          <w:rFonts w:eastAsia="Calibri" w:cstheme="minorHAnsi"/>
          <w:sz w:val="18"/>
          <w:szCs w:val="18"/>
          <w:lang w:val="en-US"/>
        </w:rPr>
        <w:t>682</w:t>
      </w:r>
      <w:r w:rsidRPr="00662B3B">
        <w:rPr>
          <w:rFonts w:eastAsia="Calibri" w:cstheme="minorHAnsi"/>
          <w:sz w:val="18"/>
          <w:szCs w:val="18"/>
        </w:rPr>
        <w:t>, 7 May 2015.</w:t>
      </w:r>
    </w:p>
  </w:footnote>
  <w:footnote w:id="67">
    <w:p w14:paraId="1D29E573" w14:textId="6BE57FE6" w:rsidR="00080105" w:rsidRPr="00662B3B" w:rsidRDefault="00080105"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170150" w:rsidRPr="00662B3B">
        <w:rPr>
          <w:rFonts w:eastAsia="Arial Narrow" w:cstheme="minorHAnsi"/>
          <w:color w:val="000000" w:themeColor="text1"/>
          <w:sz w:val="18"/>
          <w:szCs w:val="18"/>
        </w:rPr>
        <w:t>Ibid. 8</w:t>
      </w:r>
      <w:r w:rsidRPr="00662B3B">
        <w:rPr>
          <w:rFonts w:eastAsia="Arial Narrow" w:cstheme="minorHAnsi"/>
          <w:color w:val="000000" w:themeColor="text1"/>
          <w:sz w:val="18"/>
          <w:szCs w:val="18"/>
        </w:rPr>
        <w:t>.</w:t>
      </w:r>
    </w:p>
  </w:footnote>
  <w:footnote w:id="68">
    <w:p w14:paraId="0C942000" w14:textId="4C36CA72" w:rsidR="00080105" w:rsidRPr="00662B3B" w:rsidRDefault="00080105"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Ibid</w:t>
      </w:r>
      <w:r w:rsidR="00170150" w:rsidRPr="00662B3B">
        <w:rPr>
          <w:sz w:val="18"/>
          <w:szCs w:val="18"/>
        </w:rPr>
        <w:t>. 8</w:t>
      </w:r>
      <w:r w:rsidRPr="00662B3B">
        <w:rPr>
          <w:sz w:val="18"/>
          <w:szCs w:val="18"/>
        </w:rPr>
        <w:t xml:space="preserve">, Articles </w:t>
      </w:r>
      <w:r w:rsidRPr="00662B3B">
        <w:rPr>
          <w:rFonts w:hint="eastAsia"/>
          <w:sz w:val="18"/>
          <w:szCs w:val="18"/>
          <w:lang w:eastAsia="ko-KR"/>
        </w:rPr>
        <w:t>1</w:t>
      </w:r>
      <w:r w:rsidRPr="00662B3B">
        <w:rPr>
          <w:sz w:val="18"/>
          <w:szCs w:val="18"/>
          <w:lang w:eastAsia="ko-KR"/>
        </w:rPr>
        <w:t>1(1) and</w:t>
      </w:r>
      <w:r w:rsidRPr="00662B3B">
        <w:rPr>
          <w:sz w:val="18"/>
          <w:szCs w:val="18"/>
        </w:rPr>
        <w:t xml:space="preserve"> 1</w:t>
      </w:r>
      <w:r w:rsidRPr="00662B3B">
        <w:rPr>
          <w:rFonts w:hint="eastAsia"/>
          <w:sz w:val="18"/>
          <w:szCs w:val="18"/>
          <w:lang w:eastAsia="ko-KR"/>
        </w:rPr>
        <w:t>1</w:t>
      </w:r>
      <w:r w:rsidRPr="00662B3B">
        <w:rPr>
          <w:sz w:val="18"/>
          <w:szCs w:val="18"/>
        </w:rPr>
        <w:t xml:space="preserve"> (2).</w:t>
      </w:r>
    </w:p>
  </w:footnote>
  <w:footnote w:id="69">
    <w:p w14:paraId="40B004B2" w14:textId="03D2D56D" w:rsidR="000721DB" w:rsidRPr="00662B3B" w:rsidRDefault="000721DB" w:rsidP="00662B3B">
      <w:pPr>
        <w:pStyle w:val="FootnoteText"/>
        <w:jc w:val="both"/>
        <w:rPr>
          <w:sz w:val="18"/>
          <w:szCs w:val="18"/>
        </w:rPr>
      </w:pPr>
      <w:r w:rsidRPr="00662B3B">
        <w:rPr>
          <w:rStyle w:val="FootnoteReference"/>
          <w:sz w:val="18"/>
          <w:szCs w:val="18"/>
        </w:rPr>
        <w:footnoteRef/>
      </w:r>
      <w:r w:rsidRPr="00662B3B">
        <w:rPr>
          <w:sz w:val="18"/>
          <w:szCs w:val="18"/>
        </w:rPr>
        <w:t xml:space="preserve"> </w:t>
      </w:r>
      <w:r w:rsidR="00170150" w:rsidRPr="00662B3B">
        <w:rPr>
          <w:rFonts w:cstheme="minorHAnsi"/>
          <w:sz w:val="18"/>
          <w:szCs w:val="18"/>
        </w:rPr>
        <w:t>Ibid. 60</w:t>
      </w:r>
      <w:r w:rsidRPr="00662B3B">
        <w:rPr>
          <w:rFonts w:cstheme="minorHAnsi"/>
          <w:sz w:val="18"/>
          <w:szCs w:val="18"/>
        </w:rPr>
        <w:t>.</w:t>
      </w:r>
    </w:p>
  </w:footnote>
  <w:footnote w:id="70">
    <w:p w14:paraId="3BB10871" w14:textId="2B12A97A" w:rsidR="000721DB" w:rsidRPr="00662B3B" w:rsidRDefault="000721DB"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170150" w:rsidRPr="00662B3B">
        <w:rPr>
          <w:rFonts w:eastAsia="Arial Narrow" w:cstheme="minorHAnsi"/>
          <w:color w:val="000000" w:themeColor="text1"/>
          <w:sz w:val="18"/>
          <w:szCs w:val="18"/>
        </w:rPr>
        <w:t>Ibid. 61.</w:t>
      </w:r>
    </w:p>
  </w:footnote>
  <w:footnote w:id="71">
    <w:p w14:paraId="119DA07C" w14:textId="7091452A" w:rsidR="000721DB" w:rsidRPr="00662B3B" w:rsidRDefault="000721DB" w:rsidP="00662B3B">
      <w:pPr>
        <w:pStyle w:val="FootnoteText"/>
        <w:jc w:val="both"/>
        <w:rPr>
          <w:sz w:val="18"/>
          <w:szCs w:val="18"/>
          <w:lang w:val="lt-LT"/>
        </w:rPr>
      </w:pPr>
      <w:r w:rsidRPr="00662B3B">
        <w:rPr>
          <w:rStyle w:val="FootnoteReference"/>
          <w:sz w:val="18"/>
          <w:szCs w:val="18"/>
        </w:rPr>
        <w:footnoteRef/>
      </w:r>
      <w:r w:rsidRPr="00662B3B">
        <w:rPr>
          <w:sz w:val="18"/>
          <w:szCs w:val="18"/>
        </w:rPr>
        <w:t xml:space="preserve"> </w:t>
      </w:r>
      <w:r w:rsidR="00662B3B" w:rsidRPr="00662B3B">
        <w:rPr>
          <w:rFonts w:eastAsia="Arial Narrow" w:cstheme="minorHAnsi"/>
          <w:color w:val="000000" w:themeColor="text1"/>
          <w:sz w:val="18"/>
          <w:szCs w:val="18"/>
        </w:rPr>
        <w:t>Ibid.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4B5"/>
    <w:multiLevelType w:val="hybridMultilevel"/>
    <w:tmpl w:val="A164E306"/>
    <w:lvl w:ilvl="0" w:tplc="BDD4286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A64D29"/>
    <w:multiLevelType w:val="hybridMultilevel"/>
    <w:tmpl w:val="BC40931C"/>
    <w:lvl w:ilvl="0" w:tplc="0427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8C4926"/>
    <w:multiLevelType w:val="hybridMultilevel"/>
    <w:tmpl w:val="59905FF2"/>
    <w:lvl w:ilvl="0" w:tplc="0427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964B4"/>
    <w:multiLevelType w:val="hybridMultilevel"/>
    <w:tmpl w:val="20E67C90"/>
    <w:lvl w:ilvl="0" w:tplc="FFBA302A">
      <w:start w:val="1"/>
      <w:numFmt w:val="bullet"/>
      <w:lvlText w:val="•"/>
      <w:lvlJc w:val="left"/>
      <w:pPr>
        <w:tabs>
          <w:tab w:val="num" w:pos="720"/>
        </w:tabs>
        <w:ind w:left="720" w:hanging="360"/>
      </w:pPr>
      <w:rPr>
        <w:rFonts w:ascii="Arial" w:hAnsi="Arial" w:hint="default"/>
      </w:rPr>
    </w:lvl>
    <w:lvl w:ilvl="1" w:tplc="0382F6DA">
      <w:start w:val="1"/>
      <w:numFmt w:val="bullet"/>
      <w:lvlText w:val="•"/>
      <w:lvlJc w:val="left"/>
      <w:pPr>
        <w:tabs>
          <w:tab w:val="num" w:pos="1440"/>
        </w:tabs>
        <w:ind w:left="1440" w:hanging="360"/>
      </w:pPr>
      <w:rPr>
        <w:rFonts w:ascii="Arial" w:hAnsi="Arial" w:hint="default"/>
      </w:rPr>
    </w:lvl>
    <w:lvl w:ilvl="2" w:tplc="921491B8" w:tentative="1">
      <w:start w:val="1"/>
      <w:numFmt w:val="bullet"/>
      <w:lvlText w:val="•"/>
      <w:lvlJc w:val="left"/>
      <w:pPr>
        <w:tabs>
          <w:tab w:val="num" w:pos="2160"/>
        </w:tabs>
        <w:ind w:left="2160" w:hanging="360"/>
      </w:pPr>
      <w:rPr>
        <w:rFonts w:ascii="Arial" w:hAnsi="Arial" w:hint="default"/>
      </w:rPr>
    </w:lvl>
    <w:lvl w:ilvl="3" w:tplc="BF1C2B30" w:tentative="1">
      <w:start w:val="1"/>
      <w:numFmt w:val="bullet"/>
      <w:lvlText w:val="•"/>
      <w:lvlJc w:val="left"/>
      <w:pPr>
        <w:tabs>
          <w:tab w:val="num" w:pos="2880"/>
        </w:tabs>
        <w:ind w:left="2880" w:hanging="360"/>
      </w:pPr>
      <w:rPr>
        <w:rFonts w:ascii="Arial" w:hAnsi="Arial" w:hint="default"/>
      </w:rPr>
    </w:lvl>
    <w:lvl w:ilvl="4" w:tplc="5D88C8F0" w:tentative="1">
      <w:start w:val="1"/>
      <w:numFmt w:val="bullet"/>
      <w:lvlText w:val="•"/>
      <w:lvlJc w:val="left"/>
      <w:pPr>
        <w:tabs>
          <w:tab w:val="num" w:pos="3600"/>
        </w:tabs>
        <w:ind w:left="3600" w:hanging="360"/>
      </w:pPr>
      <w:rPr>
        <w:rFonts w:ascii="Arial" w:hAnsi="Arial" w:hint="default"/>
      </w:rPr>
    </w:lvl>
    <w:lvl w:ilvl="5" w:tplc="563A6512" w:tentative="1">
      <w:start w:val="1"/>
      <w:numFmt w:val="bullet"/>
      <w:lvlText w:val="•"/>
      <w:lvlJc w:val="left"/>
      <w:pPr>
        <w:tabs>
          <w:tab w:val="num" w:pos="4320"/>
        </w:tabs>
        <w:ind w:left="4320" w:hanging="360"/>
      </w:pPr>
      <w:rPr>
        <w:rFonts w:ascii="Arial" w:hAnsi="Arial" w:hint="default"/>
      </w:rPr>
    </w:lvl>
    <w:lvl w:ilvl="6" w:tplc="BDFAAC96" w:tentative="1">
      <w:start w:val="1"/>
      <w:numFmt w:val="bullet"/>
      <w:lvlText w:val="•"/>
      <w:lvlJc w:val="left"/>
      <w:pPr>
        <w:tabs>
          <w:tab w:val="num" w:pos="5040"/>
        </w:tabs>
        <w:ind w:left="5040" w:hanging="360"/>
      </w:pPr>
      <w:rPr>
        <w:rFonts w:ascii="Arial" w:hAnsi="Arial" w:hint="default"/>
      </w:rPr>
    </w:lvl>
    <w:lvl w:ilvl="7" w:tplc="74401A62" w:tentative="1">
      <w:start w:val="1"/>
      <w:numFmt w:val="bullet"/>
      <w:lvlText w:val="•"/>
      <w:lvlJc w:val="left"/>
      <w:pPr>
        <w:tabs>
          <w:tab w:val="num" w:pos="5760"/>
        </w:tabs>
        <w:ind w:left="5760" w:hanging="360"/>
      </w:pPr>
      <w:rPr>
        <w:rFonts w:ascii="Arial" w:hAnsi="Arial" w:hint="default"/>
      </w:rPr>
    </w:lvl>
    <w:lvl w:ilvl="8" w:tplc="7CF89A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223D8"/>
    <w:multiLevelType w:val="hybridMultilevel"/>
    <w:tmpl w:val="B5B8DC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2B1DB3"/>
    <w:multiLevelType w:val="hybridMultilevel"/>
    <w:tmpl w:val="AC12C9D4"/>
    <w:lvl w:ilvl="0" w:tplc="0427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ED4AC3"/>
    <w:multiLevelType w:val="multilevel"/>
    <w:tmpl w:val="E10AC66C"/>
    <w:lvl w:ilvl="0">
      <w:start w:val="1"/>
      <w:numFmt w:val="bullet"/>
      <w:lvlText w:val="•"/>
      <w:lvlJc w:val="left"/>
      <w:pPr>
        <w:ind w:left="720" w:firstLine="360"/>
      </w:pPr>
      <w:rPr>
        <w:rFonts w:ascii="Arial" w:eastAsia="Arial" w:hAnsi="Arial" w:cs="Arial"/>
      </w:rPr>
    </w:lvl>
    <w:lvl w:ilvl="1">
      <w:start w:val="1177"/>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248284F"/>
    <w:multiLevelType w:val="hybridMultilevel"/>
    <w:tmpl w:val="3FC624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E128FE"/>
    <w:multiLevelType w:val="multilevel"/>
    <w:tmpl w:val="8B4A2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7BC302D"/>
    <w:multiLevelType w:val="hybridMultilevel"/>
    <w:tmpl w:val="F56CFB76"/>
    <w:lvl w:ilvl="0" w:tplc="BDD4286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BB8181E"/>
    <w:multiLevelType w:val="hybridMultilevel"/>
    <w:tmpl w:val="C8284BDC"/>
    <w:lvl w:ilvl="0" w:tplc="0427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095857"/>
    <w:multiLevelType w:val="hybridMultilevel"/>
    <w:tmpl w:val="294A7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C39C1"/>
    <w:multiLevelType w:val="multilevel"/>
    <w:tmpl w:val="BDA8886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9D60179"/>
    <w:multiLevelType w:val="hybridMultilevel"/>
    <w:tmpl w:val="457AD054"/>
    <w:lvl w:ilvl="0" w:tplc="FFBA302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25913F4"/>
    <w:multiLevelType w:val="hybridMultilevel"/>
    <w:tmpl w:val="6A8842AE"/>
    <w:lvl w:ilvl="0" w:tplc="658E93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ACA6851"/>
    <w:multiLevelType w:val="hybridMultilevel"/>
    <w:tmpl w:val="7DD48F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85047218">
    <w:abstractNumId w:val="11"/>
  </w:num>
  <w:num w:numId="2" w16cid:durableId="722102040">
    <w:abstractNumId w:val="12"/>
  </w:num>
  <w:num w:numId="3" w16cid:durableId="1137836312">
    <w:abstractNumId w:val="6"/>
  </w:num>
  <w:num w:numId="4" w16cid:durableId="584268766">
    <w:abstractNumId w:val="8"/>
  </w:num>
  <w:num w:numId="5" w16cid:durableId="2021344848">
    <w:abstractNumId w:val="9"/>
  </w:num>
  <w:num w:numId="6" w16cid:durableId="764157187">
    <w:abstractNumId w:val="7"/>
  </w:num>
  <w:num w:numId="7" w16cid:durableId="507719317">
    <w:abstractNumId w:val="3"/>
  </w:num>
  <w:num w:numId="8" w16cid:durableId="1203053671">
    <w:abstractNumId w:val="0"/>
  </w:num>
  <w:num w:numId="9" w16cid:durableId="1585451158">
    <w:abstractNumId w:val="15"/>
  </w:num>
  <w:num w:numId="10" w16cid:durableId="1338844496">
    <w:abstractNumId w:val="4"/>
  </w:num>
  <w:num w:numId="11" w16cid:durableId="2077968643">
    <w:abstractNumId w:val="2"/>
  </w:num>
  <w:num w:numId="12" w16cid:durableId="451440596">
    <w:abstractNumId w:val="5"/>
  </w:num>
  <w:num w:numId="13" w16cid:durableId="1529878815">
    <w:abstractNumId w:val="1"/>
  </w:num>
  <w:num w:numId="14" w16cid:durableId="2079864243">
    <w:abstractNumId w:val="10"/>
  </w:num>
  <w:num w:numId="15" w16cid:durableId="1269116209">
    <w:abstractNumId w:val="13"/>
  </w:num>
  <w:num w:numId="16" w16cid:durableId="16151390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4454"/>
    <w:rsid w:val="00001E2E"/>
    <w:rsid w:val="00012F84"/>
    <w:rsid w:val="000135FC"/>
    <w:rsid w:val="00013FC6"/>
    <w:rsid w:val="000154CA"/>
    <w:rsid w:val="00016FD3"/>
    <w:rsid w:val="000174D6"/>
    <w:rsid w:val="00030428"/>
    <w:rsid w:val="00050EB5"/>
    <w:rsid w:val="000554A5"/>
    <w:rsid w:val="000721DB"/>
    <w:rsid w:val="00073371"/>
    <w:rsid w:val="00077A25"/>
    <w:rsid w:val="00080105"/>
    <w:rsid w:val="000838FA"/>
    <w:rsid w:val="00086DBB"/>
    <w:rsid w:val="000951E0"/>
    <w:rsid w:val="000A406E"/>
    <w:rsid w:val="000A5D33"/>
    <w:rsid w:val="000B3EC3"/>
    <w:rsid w:val="000B5896"/>
    <w:rsid w:val="000B7839"/>
    <w:rsid w:val="000C16F5"/>
    <w:rsid w:val="000D5847"/>
    <w:rsid w:val="000E09FB"/>
    <w:rsid w:val="000E656F"/>
    <w:rsid w:val="000F4ED3"/>
    <w:rsid w:val="001117AB"/>
    <w:rsid w:val="0011328B"/>
    <w:rsid w:val="00123BFB"/>
    <w:rsid w:val="00125B6A"/>
    <w:rsid w:val="00135DDE"/>
    <w:rsid w:val="00143A6F"/>
    <w:rsid w:val="001474F6"/>
    <w:rsid w:val="0015021B"/>
    <w:rsid w:val="00164B05"/>
    <w:rsid w:val="00170150"/>
    <w:rsid w:val="001708A7"/>
    <w:rsid w:val="001806E0"/>
    <w:rsid w:val="00183321"/>
    <w:rsid w:val="001A36CD"/>
    <w:rsid w:val="001A5CE5"/>
    <w:rsid w:val="001B3E6A"/>
    <w:rsid w:val="001C4454"/>
    <w:rsid w:val="001C780E"/>
    <w:rsid w:val="001D29C5"/>
    <w:rsid w:val="001D7240"/>
    <w:rsid w:val="001E14B1"/>
    <w:rsid w:val="001E3D4F"/>
    <w:rsid w:val="001F3E35"/>
    <w:rsid w:val="001F4E3D"/>
    <w:rsid w:val="001F6B00"/>
    <w:rsid w:val="00235776"/>
    <w:rsid w:val="00243BA3"/>
    <w:rsid w:val="00263DDF"/>
    <w:rsid w:val="002849B7"/>
    <w:rsid w:val="00295898"/>
    <w:rsid w:val="002A2022"/>
    <w:rsid w:val="002A5A6B"/>
    <w:rsid w:val="002B4CE3"/>
    <w:rsid w:val="002C0C44"/>
    <w:rsid w:val="002D056D"/>
    <w:rsid w:val="002D3F0E"/>
    <w:rsid w:val="00300E6E"/>
    <w:rsid w:val="00301177"/>
    <w:rsid w:val="00305FA6"/>
    <w:rsid w:val="00315BEC"/>
    <w:rsid w:val="00335BEA"/>
    <w:rsid w:val="00340077"/>
    <w:rsid w:val="00341BFB"/>
    <w:rsid w:val="00343050"/>
    <w:rsid w:val="00351005"/>
    <w:rsid w:val="00356E39"/>
    <w:rsid w:val="00367E7B"/>
    <w:rsid w:val="0037616C"/>
    <w:rsid w:val="00377C75"/>
    <w:rsid w:val="00385A1A"/>
    <w:rsid w:val="00387919"/>
    <w:rsid w:val="003B26AF"/>
    <w:rsid w:val="003B29FD"/>
    <w:rsid w:val="003B60C6"/>
    <w:rsid w:val="003C341E"/>
    <w:rsid w:val="003D0A9C"/>
    <w:rsid w:val="003D26A1"/>
    <w:rsid w:val="003E11D0"/>
    <w:rsid w:val="003E2141"/>
    <w:rsid w:val="003E4A70"/>
    <w:rsid w:val="003F2ABB"/>
    <w:rsid w:val="003F7D22"/>
    <w:rsid w:val="00414310"/>
    <w:rsid w:val="00437372"/>
    <w:rsid w:val="00441D1B"/>
    <w:rsid w:val="00484912"/>
    <w:rsid w:val="00492D75"/>
    <w:rsid w:val="004938F5"/>
    <w:rsid w:val="00497197"/>
    <w:rsid w:val="004A0875"/>
    <w:rsid w:val="004A1B4E"/>
    <w:rsid w:val="004B1B61"/>
    <w:rsid w:val="004B3B91"/>
    <w:rsid w:val="004C4628"/>
    <w:rsid w:val="004D405E"/>
    <w:rsid w:val="004E5A94"/>
    <w:rsid w:val="00506BF1"/>
    <w:rsid w:val="00512473"/>
    <w:rsid w:val="00516F81"/>
    <w:rsid w:val="005241E4"/>
    <w:rsid w:val="00547C16"/>
    <w:rsid w:val="00552389"/>
    <w:rsid w:val="0055270C"/>
    <w:rsid w:val="00567F38"/>
    <w:rsid w:val="00574773"/>
    <w:rsid w:val="00584CAC"/>
    <w:rsid w:val="00592AAC"/>
    <w:rsid w:val="00597AE9"/>
    <w:rsid w:val="00597E89"/>
    <w:rsid w:val="005A5D7E"/>
    <w:rsid w:val="005B0DDF"/>
    <w:rsid w:val="005B25D7"/>
    <w:rsid w:val="005B391D"/>
    <w:rsid w:val="005B6A24"/>
    <w:rsid w:val="005C2261"/>
    <w:rsid w:val="005C77C5"/>
    <w:rsid w:val="005D29DA"/>
    <w:rsid w:val="005E190D"/>
    <w:rsid w:val="005E697C"/>
    <w:rsid w:val="005F04C3"/>
    <w:rsid w:val="005F353B"/>
    <w:rsid w:val="005F5A2A"/>
    <w:rsid w:val="005F7528"/>
    <w:rsid w:val="00617543"/>
    <w:rsid w:val="0062451B"/>
    <w:rsid w:val="0063002E"/>
    <w:rsid w:val="00635C84"/>
    <w:rsid w:val="00636D8F"/>
    <w:rsid w:val="006451CE"/>
    <w:rsid w:val="00645FBE"/>
    <w:rsid w:val="00646241"/>
    <w:rsid w:val="00655E38"/>
    <w:rsid w:val="00662B3B"/>
    <w:rsid w:val="00664C81"/>
    <w:rsid w:val="006700EA"/>
    <w:rsid w:val="0068096C"/>
    <w:rsid w:val="0068422C"/>
    <w:rsid w:val="00694BAD"/>
    <w:rsid w:val="0069578C"/>
    <w:rsid w:val="006A7E78"/>
    <w:rsid w:val="006B379E"/>
    <w:rsid w:val="006B7F65"/>
    <w:rsid w:val="006C5CA1"/>
    <w:rsid w:val="006D6944"/>
    <w:rsid w:val="006F5045"/>
    <w:rsid w:val="0070070D"/>
    <w:rsid w:val="007017B2"/>
    <w:rsid w:val="007173CA"/>
    <w:rsid w:val="0073357C"/>
    <w:rsid w:val="007435FB"/>
    <w:rsid w:val="007609F2"/>
    <w:rsid w:val="00765CD6"/>
    <w:rsid w:val="00780FB7"/>
    <w:rsid w:val="00791A27"/>
    <w:rsid w:val="00793B46"/>
    <w:rsid w:val="007957EC"/>
    <w:rsid w:val="00796EE7"/>
    <w:rsid w:val="007A0237"/>
    <w:rsid w:val="007A34CE"/>
    <w:rsid w:val="007A46C2"/>
    <w:rsid w:val="007A540B"/>
    <w:rsid w:val="007B1754"/>
    <w:rsid w:val="007B7A29"/>
    <w:rsid w:val="007C0591"/>
    <w:rsid w:val="007E4DE2"/>
    <w:rsid w:val="007F06B0"/>
    <w:rsid w:val="0081302F"/>
    <w:rsid w:val="00815BB3"/>
    <w:rsid w:val="00820175"/>
    <w:rsid w:val="00830FC4"/>
    <w:rsid w:val="0083122E"/>
    <w:rsid w:val="00844D85"/>
    <w:rsid w:val="00855CCC"/>
    <w:rsid w:val="00856CB0"/>
    <w:rsid w:val="00862211"/>
    <w:rsid w:val="00870BCE"/>
    <w:rsid w:val="00890842"/>
    <w:rsid w:val="00890C2F"/>
    <w:rsid w:val="0089292F"/>
    <w:rsid w:val="00893C00"/>
    <w:rsid w:val="008A27A7"/>
    <w:rsid w:val="008A4851"/>
    <w:rsid w:val="008A6A0E"/>
    <w:rsid w:val="008A6F5F"/>
    <w:rsid w:val="008B2BD7"/>
    <w:rsid w:val="008B4FB2"/>
    <w:rsid w:val="008B6200"/>
    <w:rsid w:val="008B7763"/>
    <w:rsid w:val="008B77AB"/>
    <w:rsid w:val="008C149D"/>
    <w:rsid w:val="008C262A"/>
    <w:rsid w:val="008C4C04"/>
    <w:rsid w:val="008C63D4"/>
    <w:rsid w:val="008D316E"/>
    <w:rsid w:val="008D57C1"/>
    <w:rsid w:val="008E1BAD"/>
    <w:rsid w:val="008E3EBA"/>
    <w:rsid w:val="008E5C27"/>
    <w:rsid w:val="009214DC"/>
    <w:rsid w:val="00921E74"/>
    <w:rsid w:val="00924AC1"/>
    <w:rsid w:val="00924B7F"/>
    <w:rsid w:val="00934448"/>
    <w:rsid w:val="00935037"/>
    <w:rsid w:val="0093505D"/>
    <w:rsid w:val="00983615"/>
    <w:rsid w:val="00985D5D"/>
    <w:rsid w:val="009935A9"/>
    <w:rsid w:val="00996582"/>
    <w:rsid w:val="00996BB6"/>
    <w:rsid w:val="009A27EF"/>
    <w:rsid w:val="009D1ADA"/>
    <w:rsid w:val="009D25A2"/>
    <w:rsid w:val="009F20C7"/>
    <w:rsid w:val="009F5486"/>
    <w:rsid w:val="009F5BD6"/>
    <w:rsid w:val="00A16BE0"/>
    <w:rsid w:val="00A26EA8"/>
    <w:rsid w:val="00A273F2"/>
    <w:rsid w:val="00A27E49"/>
    <w:rsid w:val="00A35ABF"/>
    <w:rsid w:val="00A37396"/>
    <w:rsid w:val="00A67E91"/>
    <w:rsid w:val="00A7237C"/>
    <w:rsid w:val="00A80D11"/>
    <w:rsid w:val="00A817FB"/>
    <w:rsid w:val="00A820F4"/>
    <w:rsid w:val="00A8378C"/>
    <w:rsid w:val="00A910BB"/>
    <w:rsid w:val="00A92173"/>
    <w:rsid w:val="00A94203"/>
    <w:rsid w:val="00A94904"/>
    <w:rsid w:val="00A976A0"/>
    <w:rsid w:val="00AA45F7"/>
    <w:rsid w:val="00AB0B87"/>
    <w:rsid w:val="00AB2A1A"/>
    <w:rsid w:val="00AB3F11"/>
    <w:rsid w:val="00AC3079"/>
    <w:rsid w:val="00AD0B59"/>
    <w:rsid w:val="00AF4A17"/>
    <w:rsid w:val="00B11AD1"/>
    <w:rsid w:val="00B12CE9"/>
    <w:rsid w:val="00B173CD"/>
    <w:rsid w:val="00B25DD5"/>
    <w:rsid w:val="00B30BFD"/>
    <w:rsid w:val="00B34146"/>
    <w:rsid w:val="00B36106"/>
    <w:rsid w:val="00B4673F"/>
    <w:rsid w:val="00B51BFE"/>
    <w:rsid w:val="00B53214"/>
    <w:rsid w:val="00B6137B"/>
    <w:rsid w:val="00B64BB5"/>
    <w:rsid w:val="00B7225D"/>
    <w:rsid w:val="00B8658E"/>
    <w:rsid w:val="00B87E2D"/>
    <w:rsid w:val="00B957AA"/>
    <w:rsid w:val="00BA1F2D"/>
    <w:rsid w:val="00BA3217"/>
    <w:rsid w:val="00BB1C53"/>
    <w:rsid w:val="00BB5422"/>
    <w:rsid w:val="00BD1420"/>
    <w:rsid w:val="00BD53AE"/>
    <w:rsid w:val="00BE28E2"/>
    <w:rsid w:val="00BF2E29"/>
    <w:rsid w:val="00BF567D"/>
    <w:rsid w:val="00C06943"/>
    <w:rsid w:val="00C13417"/>
    <w:rsid w:val="00C15959"/>
    <w:rsid w:val="00C21BEA"/>
    <w:rsid w:val="00C323F1"/>
    <w:rsid w:val="00C35941"/>
    <w:rsid w:val="00C37A4F"/>
    <w:rsid w:val="00C415AF"/>
    <w:rsid w:val="00C448EB"/>
    <w:rsid w:val="00C83F6D"/>
    <w:rsid w:val="00C8575D"/>
    <w:rsid w:val="00CA01E7"/>
    <w:rsid w:val="00CA3212"/>
    <w:rsid w:val="00CB138C"/>
    <w:rsid w:val="00CB2D62"/>
    <w:rsid w:val="00CD1597"/>
    <w:rsid w:val="00CE0FAF"/>
    <w:rsid w:val="00CE3015"/>
    <w:rsid w:val="00CF3CF0"/>
    <w:rsid w:val="00D02D82"/>
    <w:rsid w:val="00D1229C"/>
    <w:rsid w:val="00D12EA9"/>
    <w:rsid w:val="00D3036F"/>
    <w:rsid w:val="00D3056F"/>
    <w:rsid w:val="00D34722"/>
    <w:rsid w:val="00D62ACC"/>
    <w:rsid w:val="00D65E0B"/>
    <w:rsid w:val="00D675F0"/>
    <w:rsid w:val="00D81351"/>
    <w:rsid w:val="00D81478"/>
    <w:rsid w:val="00D817DC"/>
    <w:rsid w:val="00D94C3C"/>
    <w:rsid w:val="00DB239C"/>
    <w:rsid w:val="00DC2F1B"/>
    <w:rsid w:val="00DD640A"/>
    <w:rsid w:val="00DE3817"/>
    <w:rsid w:val="00DE7FC7"/>
    <w:rsid w:val="00E0177E"/>
    <w:rsid w:val="00E05AFC"/>
    <w:rsid w:val="00E06DCB"/>
    <w:rsid w:val="00E105FB"/>
    <w:rsid w:val="00E168E3"/>
    <w:rsid w:val="00E20496"/>
    <w:rsid w:val="00E25CF1"/>
    <w:rsid w:val="00E27E49"/>
    <w:rsid w:val="00E408F6"/>
    <w:rsid w:val="00E54F10"/>
    <w:rsid w:val="00E561D4"/>
    <w:rsid w:val="00E74CFE"/>
    <w:rsid w:val="00E81796"/>
    <w:rsid w:val="00E83DC4"/>
    <w:rsid w:val="00E87CAB"/>
    <w:rsid w:val="00E96FB5"/>
    <w:rsid w:val="00ED1AF3"/>
    <w:rsid w:val="00ED62A8"/>
    <w:rsid w:val="00EE5C2A"/>
    <w:rsid w:val="00F0190E"/>
    <w:rsid w:val="00F10E94"/>
    <w:rsid w:val="00F12827"/>
    <w:rsid w:val="00F203DD"/>
    <w:rsid w:val="00F20532"/>
    <w:rsid w:val="00F2321A"/>
    <w:rsid w:val="00F25916"/>
    <w:rsid w:val="00F2640A"/>
    <w:rsid w:val="00F4175D"/>
    <w:rsid w:val="00F4692B"/>
    <w:rsid w:val="00F55709"/>
    <w:rsid w:val="00F57920"/>
    <w:rsid w:val="00F62B90"/>
    <w:rsid w:val="00F63BEB"/>
    <w:rsid w:val="00F67993"/>
    <w:rsid w:val="00F72B57"/>
    <w:rsid w:val="00F75C34"/>
    <w:rsid w:val="00F907BC"/>
    <w:rsid w:val="00F90AD5"/>
    <w:rsid w:val="00F91EB0"/>
    <w:rsid w:val="00F96931"/>
    <w:rsid w:val="00FA0C49"/>
    <w:rsid w:val="00FA16A8"/>
    <w:rsid w:val="00FA4165"/>
    <w:rsid w:val="00FA4F45"/>
    <w:rsid w:val="00FA648C"/>
    <w:rsid w:val="00FB2E65"/>
    <w:rsid w:val="00FB6745"/>
    <w:rsid w:val="00FC6DFE"/>
    <w:rsid w:val="00FD0FD8"/>
    <w:rsid w:val="00FD224F"/>
    <w:rsid w:val="00FE0B96"/>
    <w:rsid w:val="00FF6E8A"/>
    <w:rsid w:val="00FF7E2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3E8"/>
  <w15:docId w15:val="{380473A5-C359-49EC-AF79-681506FD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54"/>
    <w:pPr>
      <w:ind w:left="720"/>
      <w:contextualSpacing/>
    </w:pPr>
  </w:style>
  <w:style w:type="table" w:styleId="TableGrid">
    <w:name w:val="Table Grid"/>
    <w:basedOn w:val="TableNormal"/>
    <w:uiPriority w:val="39"/>
    <w:rsid w:val="0079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F3E35"/>
    <w:rPr>
      <w:i/>
      <w:iCs/>
      <w:color w:val="404040" w:themeColor="text1" w:themeTint="BF"/>
    </w:rPr>
  </w:style>
  <w:style w:type="paragraph" w:styleId="FootnoteText">
    <w:name w:val="footnote text"/>
    <w:basedOn w:val="Normal"/>
    <w:link w:val="FootnoteTextChar"/>
    <w:uiPriority w:val="99"/>
    <w:semiHidden/>
    <w:unhideWhenUsed/>
    <w:rsid w:val="00E83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DC4"/>
    <w:rPr>
      <w:sz w:val="20"/>
      <w:szCs w:val="20"/>
    </w:rPr>
  </w:style>
  <w:style w:type="character" w:styleId="FootnoteReference">
    <w:name w:val="footnote reference"/>
    <w:basedOn w:val="DefaultParagraphFont"/>
    <w:uiPriority w:val="99"/>
    <w:semiHidden/>
    <w:unhideWhenUsed/>
    <w:rsid w:val="00E83DC4"/>
    <w:rPr>
      <w:vertAlign w:val="superscript"/>
    </w:rPr>
  </w:style>
  <w:style w:type="character" w:styleId="Hyperlink">
    <w:name w:val="Hyperlink"/>
    <w:basedOn w:val="DefaultParagraphFont"/>
    <w:uiPriority w:val="99"/>
    <w:unhideWhenUsed/>
    <w:rsid w:val="00E83DC4"/>
    <w:rPr>
      <w:color w:val="0563C1" w:themeColor="hyperlink"/>
      <w:u w:val="single"/>
    </w:rPr>
  </w:style>
  <w:style w:type="character" w:styleId="UnresolvedMention">
    <w:name w:val="Unresolved Mention"/>
    <w:basedOn w:val="DefaultParagraphFont"/>
    <w:uiPriority w:val="99"/>
    <w:semiHidden/>
    <w:unhideWhenUsed/>
    <w:rsid w:val="00E83DC4"/>
    <w:rPr>
      <w:color w:val="605E5C"/>
      <w:shd w:val="clear" w:color="auto" w:fill="E1DFDD"/>
    </w:rPr>
  </w:style>
  <w:style w:type="character" w:styleId="FollowedHyperlink">
    <w:name w:val="FollowedHyperlink"/>
    <w:basedOn w:val="DefaultParagraphFont"/>
    <w:uiPriority w:val="99"/>
    <w:semiHidden/>
    <w:unhideWhenUsed/>
    <w:rsid w:val="00E83DC4"/>
    <w:rPr>
      <w:color w:val="954F72" w:themeColor="followedHyperlink"/>
      <w:u w:val="single"/>
    </w:rPr>
  </w:style>
  <w:style w:type="table" w:styleId="GridTable5Dark-Accent1">
    <w:name w:val="Grid Table 5 Dark Accent 1"/>
    <w:basedOn w:val="TableNormal"/>
    <w:uiPriority w:val="50"/>
    <w:rsid w:val="00FE0B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FE0B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FE0B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E0B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5">
    <w:name w:val="Grid Table 6 Colorful Accent 5"/>
    <w:basedOn w:val="TableNormal"/>
    <w:uiPriority w:val="51"/>
    <w:rsid w:val="00FE0B9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FE0B9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6">
    <w:name w:val="Grid Table 1 Light Accent 6"/>
    <w:basedOn w:val="TableNormal"/>
    <w:uiPriority w:val="46"/>
    <w:rsid w:val="00FE0B9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4">
    <w:name w:val="Grid Table 6 Colorful Accent 4"/>
    <w:basedOn w:val="TableNormal"/>
    <w:uiPriority w:val="51"/>
    <w:rsid w:val="00FE0B9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6">
    <w:name w:val="Grid Table 6 Colorful Accent 6"/>
    <w:basedOn w:val="TableNormal"/>
    <w:uiPriority w:val="51"/>
    <w:rsid w:val="00FE0B9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FE0B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
    <w:name w:val="Grid Table 5 Dark"/>
    <w:basedOn w:val="TableNormal"/>
    <w:uiPriority w:val="50"/>
    <w:rsid w:val="00FE0B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5">
    <w:name w:val="Plain Table 5"/>
    <w:basedOn w:val="TableNormal"/>
    <w:uiPriority w:val="45"/>
    <w:rsid w:val="00A817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817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817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A817F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5">
    <w:name w:val="Grid Table 4 Accent 5"/>
    <w:basedOn w:val="TableNormal"/>
    <w:uiPriority w:val="49"/>
    <w:rsid w:val="00A817F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A817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016FD3"/>
    <w:rPr>
      <w:rFonts w:asciiTheme="majorHAnsi" w:eastAsiaTheme="majorEastAsia" w:hAnsiTheme="majorHAnsi" w:cstheme="majorBidi"/>
      <w:color w:val="2E74B5" w:themeColor="accent1" w:themeShade="BF"/>
      <w:sz w:val="32"/>
      <w:szCs w:val="32"/>
    </w:rPr>
  </w:style>
  <w:style w:type="paragraph" w:customStyle="1" w:styleId="Standard">
    <w:name w:val="Standard"/>
    <w:basedOn w:val="Normal"/>
    <w:uiPriority w:val="1"/>
    <w:rsid w:val="00CA01E7"/>
    <w:pPr>
      <w:widowControl w:val="0"/>
      <w:spacing w:after="0" w:line="280" w:lineRule="auto"/>
    </w:pPr>
    <w:rPr>
      <w:rFonts w:ascii="Times New Roman" w:eastAsia="SimSun" w:hAnsi="Times New Roman" w:cs="Mangal"/>
      <w:sz w:val="24"/>
      <w:szCs w:val="20"/>
      <w:lang w:val="en-US" w:eastAsia="zh-CN" w:bidi="hi-IN"/>
    </w:rPr>
  </w:style>
  <w:style w:type="paragraph" w:customStyle="1" w:styleId="FRABodyText">
    <w:name w:val="(FRA) Body Text"/>
    <w:basedOn w:val="Normal"/>
    <w:uiPriority w:val="1"/>
    <w:rsid w:val="00CF3CF0"/>
    <w:pPr>
      <w:spacing w:after="240" w:line="28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1935">
      <w:bodyDiv w:val="1"/>
      <w:marLeft w:val="0"/>
      <w:marRight w:val="0"/>
      <w:marTop w:val="0"/>
      <w:marBottom w:val="0"/>
      <w:divBdr>
        <w:top w:val="none" w:sz="0" w:space="0" w:color="auto"/>
        <w:left w:val="none" w:sz="0" w:space="0" w:color="auto"/>
        <w:bottom w:val="none" w:sz="0" w:space="0" w:color="auto"/>
        <w:right w:val="none" w:sz="0" w:space="0" w:color="auto"/>
      </w:divBdr>
    </w:div>
    <w:div w:id="411707302">
      <w:bodyDiv w:val="1"/>
      <w:marLeft w:val="0"/>
      <w:marRight w:val="0"/>
      <w:marTop w:val="0"/>
      <w:marBottom w:val="0"/>
      <w:divBdr>
        <w:top w:val="none" w:sz="0" w:space="0" w:color="auto"/>
        <w:left w:val="none" w:sz="0" w:space="0" w:color="auto"/>
        <w:bottom w:val="none" w:sz="0" w:space="0" w:color="auto"/>
        <w:right w:val="none" w:sz="0" w:space="0" w:color="auto"/>
      </w:divBdr>
    </w:div>
    <w:div w:id="594750349">
      <w:bodyDiv w:val="1"/>
      <w:marLeft w:val="0"/>
      <w:marRight w:val="0"/>
      <w:marTop w:val="0"/>
      <w:marBottom w:val="0"/>
      <w:divBdr>
        <w:top w:val="none" w:sz="0" w:space="0" w:color="auto"/>
        <w:left w:val="none" w:sz="0" w:space="0" w:color="auto"/>
        <w:bottom w:val="none" w:sz="0" w:space="0" w:color="auto"/>
        <w:right w:val="none" w:sz="0" w:space="0" w:color="auto"/>
      </w:divBdr>
    </w:div>
    <w:div w:id="767624911">
      <w:bodyDiv w:val="1"/>
      <w:marLeft w:val="0"/>
      <w:marRight w:val="0"/>
      <w:marTop w:val="0"/>
      <w:marBottom w:val="0"/>
      <w:divBdr>
        <w:top w:val="none" w:sz="0" w:space="0" w:color="auto"/>
        <w:left w:val="none" w:sz="0" w:space="0" w:color="auto"/>
        <w:bottom w:val="none" w:sz="0" w:space="0" w:color="auto"/>
        <w:right w:val="none" w:sz="0" w:space="0" w:color="auto"/>
      </w:divBdr>
    </w:div>
    <w:div w:id="1071653559">
      <w:bodyDiv w:val="1"/>
      <w:marLeft w:val="0"/>
      <w:marRight w:val="0"/>
      <w:marTop w:val="0"/>
      <w:marBottom w:val="0"/>
      <w:divBdr>
        <w:top w:val="none" w:sz="0" w:space="0" w:color="auto"/>
        <w:left w:val="none" w:sz="0" w:space="0" w:color="auto"/>
        <w:bottom w:val="none" w:sz="0" w:space="0" w:color="auto"/>
        <w:right w:val="none" w:sz="0" w:space="0" w:color="auto"/>
      </w:divBdr>
    </w:div>
    <w:div w:id="1141655394">
      <w:bodyDiv w:val="1"/>
      <w:marLeft w:val="0"/>
      <w:marRight w:val="0"/>
      <w:marTop w:val="0"/>
      <w:marBottom w:val="0"/>
      <w:divBdr>
        <w:top w:val="none" w:sz="0" w:space="0" w:color="auto"/>
        <w:left w:val="none" w:sz="0" w:space="0" w:color="auto"/>
        <w:bottom w:val="none" w:sz="0" w:space="0" w:color="auto"/>
        <w:right w:val="none" w:sz="0" w:space="0" w:color="auto"/>
      </w:divBdr>
    </w:div>
    <w:div w:id="1197085428">
      <w:bodyDiv w:val="1"/>
      <w:marLeft w:val="0"/>
      <w:marRight w:val="0"/>
      <w:marTop w:val="0"/>
      <w:marBottom w:val="0"/>
      <w:divBdr>
        <w:top w:val="none" w:sz="0" w:space="0" w:color="auto"/>
        <w:left w:val="none" w:sz="0" w:space="0" w:color="auto"/>
        <w:bottom w:val="none" w:sz="0" w:space="0" w:color="auto"/>
        <w:right w:val="none" w:sz="0" w:space="0" w:color="auto"/>
      </w:divBdr>
    </w:div>
    <w:div w:id="1202129018">
      <w:bodyDiv w:val="1"/>
      <w:marLeft w:val="0"/>
      <w:marRight w:val="0"/>
      <w:marTop w:val="0"/>
      <w:marBottom w:val="0"/>
      <w:divBdr>
        <w:top w:val="none" w:sz="0" w:space="0" w:color="auto"/>
        <w:left w:val="none" w:sz="0" w:space="0" w:color="auto"/>
        <w:bottom w:val="none" w:sz="0" w:space="0" w:color="auto"/>
        <w:right w:val="none" w:sz="0" w:space="0" w:color="auto"/>
      </w:divBdr>
    </w:div>
    <w:div w:id="1645699378">
      <w:bodyDiv w:val="1"/>
      <w:marLeft w:val="0"/>
      <w:marRight w:val="0"/>
      <w:marTop w:val="0"/>
      <w:marBottom w:val="0"/>
      <w:divBdr>
        <w:top w:val="none" w:sz="0" w:space="0" w:color="auto"/>
        <w:left w:val="none" w:sz="0" w:space="0" w:color="auto"/>
        <w:bottom w:val="none" w:sz="0" w:space="0" w:color="auto"/>
        <w:right w:val="none" w:sz="0" w:space="0" w:color="auto"/>
      </w:divBdr>
    </w:div>
    <w:div w:id="1673681931">
      <w:bodyDiv w:val="1"/>
      <w:marLeft w:val="0"/>
      <w:marRight w:val="0"/>
      <w:marTop w:val="0"/>
      <w:marBottom w:val="0"/>
      <w:divBdr>
        <w:top w:val="none" w:sz="0" w:space="0" w:color="auto"/>
        <w:left w:val="none" w:sz="0" w:space="0" w:color="auto"/>
        <w:bottom w:val="none" w:sz="0" w:space="0" w:color="auto"/>
        <w:right w:val="none" w:sz="0" w:space="0" w:color="auto"/>
      </w:divBdr>
    </w:div>
    <w:div w:id="202096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gtpt.lrv.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eisesklinika.vdu.lt/" TargetMode="External"/><Relationship Id="rId3" Type="http://schemas.openxmlformats.org/officeDocument/2006/relationships/hyperlink" Target="https://vgtpt.lrv.lt/" TargetMode="External"/><Relationship Id="rId7" Type="http://schemas.openxmlformats.org/officeDocument/2006/relationships/hyperlink" Target="https://teisis.lt/external/home/main" TargetMode="External"/><Relationship Id="rId2" Type="http://schemas.openxmlformats.org/officeDocument/2006/relationships/hyperlink" Target="https://www.advokatura.lt/" TargetMode="External"/><Relationship Id="rId1" Type="http://schemas.openxmlformats.org/officeDocument/2006/relationships/hyperlink" Target="https://osp.stat.gov.lt/" TargetMode="External"/><Relationship Id="rId6" Type="http://schemas.openxmlformats.org/officeDocument/2006/relationships/hyperlink" Target="https://vgtpt.lrv.lt/lt/ivertinkite-suteiktas-paslaugas/tarnybos" TargetMode="External"/><Relationship Id="rId5" Type="http://schemas.openxmlformats.org/officeDocument/2006/relationships/hyperlink" Target="https://vgtpt.lrv.lt/lt/ivertinkite-suteiktas-paslaugas/advokatu" TargetMode="External"/><Relationship Id="rId4" Type="http://schemas.openxmlformats.org/officeDocument/2006/relationships/hyperlink" Target="https://vgtpt.lrv.lt/lt/prokurorams-tyrejams-ir-teismams/advokatu-mediatoriu-ir-psichologu-sarasai-1" TargetMode="External"/><Relationship Id="rId9" Type="http://schemas.openxmlformats.org/officeDocument/2006/relationships/hyperlink" Target="https://teisesklini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B669-9882-47B8-A0B3-949A8EF5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5755</Words>
  <Characters>32806</Characters>
  <Application>Microsoft Office Word</Application>
  <DocSecurity>0</DocSecurity>
  <Lines>273</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Paterson</dc:creator>
  <cp:keywords/>
  <dc:description/>
  <cp:lastModifiedBy>Alan Paterson</cp:lastModifiedBy>
  <cp:revision>2</cp:revision>
  <dcterms:created xsi:type="dcterms:W3CDTF">2023-04-23T20:22:00Z</dcterms:created>
  <dcterms:modified xsi:type="dcterms:W3CDTF">2023-04-23T20:22:00Z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53ef2919cb7eecb383f5f2e15e0a7b55e276e2f0d1fde22908bcd85a09e948a2</vt:lpwstr>
  </property>
</Properties>
</file>